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2ddedfda11145d6"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36276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CERNA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BILJEŠKE UZ FINANCIJSKE IZVJEŠTAJE</w:t>
      </w:r>
    </w:p>
    <w:p>
      <w:pPr>
        <w:jc w:val="center"/>
        <w:pStyle w:val="Normal"/>
        <w:spacing w:line="240" w:lineRule="auto"/>
      </w:pPr>
      <w:r>
        <w:rPr>
          <w:b/>
          <w:sz w:val="28"/>
          <w:rFonts w:ascii="Times New Roman" w:hAnsi="Times New Roman"/>
        </w:rPr>
        <w:t>ZA RAZDOBLJE</w:t>
      </w:r>
    </w:p>
    <w:p>
      <w:pPr>
        <w:jc w:val="center"/>
        <w:pStyle w:val="Normal"/>
        <w:spacing w:line="240" w:lineRule="auto"/>
      </w:pPr>
      <w:r>
        <w:rPr>
          <w:b/>
          <w:sz w:val="28"/>
          <w:rFonts w:ascii="Times New Roman" w:hAnsi="Times New Roman"/>
        </w:rPr>
        <w:t>I - VI 2025.</w:t>
      </w:r>
    </w:p>
    <w:p/>
    <w:p>
      <w:pPr>
        <w:jc w:val="center"/>
        <w:pStyle w:val="Normal"/>
        <w:spacing w:line="240" w:lineRule="auto"/>
        <w:keepNext/>
      </w:pPr>
      <w:r>
        <w:rPr>
          <w:b/>
          <w:sz w:val="28"/>
          <w:rFonts w:ascii="Times New Roman" w:hAnsi="Times New Roman"/>
        </w:rPr>
        <w:t>Izvještaj o prihodima i rashodima, primicima i izdacima</w:t>
      </w:r>
    </w:p>
    <w:p>
      <w:pPr>
        <w:jc w:val="center"/>
        <w:pStyle w:val="Normal"/>
        <w:spacing w:line="240" w:lineRule="auto"/>
        <w:keepNext/>
      </w:pPr>
      <w:r>
        <w:rPr>
          <w:sz w:val="28"/>
          <w:rFonts w:ascii="Times New Roman" w:hAnsi="Times New Roman"/>
        </w:rPr>
        <w:t>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1.492.234,44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2.659.062,02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854.466,32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1.409.795,84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637.768,12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1.249.266,18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195,9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6.386,47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1447,4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788.526,52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1.406.223,81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788.085,27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1.399.837,34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177,6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739.276,70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57.145,74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1.343.574,36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2351,1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57.145,74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604.297,66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1057,5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207.462,89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754.868,82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363,9</w:t>
            </w:r>
          </w:p>
        </w:tc>
      </w:tr>
    </w:tbl>
    <w:p>
      <w:pPr>
        <w:spacing w:before="0" w:after="0"/>
      </w:pPr>
    </w:p>
    <w:p>
      <w:pPr>
        <w:jc w:val="both"/>
        <w:pStyle w:val="Normal"/>
        <w:spacing w:line="240" w:lineRule="auto"/>
      </w:pPr>
      <w:r>
        <w:rPr>
          <w:sz w:val="24"/>
          <w:rFonts w:ascii="Times New Roman" w:hAnsi="Times New Roman"/>
        </w:rPr>
        <w:t>Na temelju navedenog, Općina Cerna na kraju izvještajnog razdoblja ima višak prihoda poslovanja, manjak prihoda od nefinancijske imovine, te manjak od financijske imovine i zaduživanja. Manjak prihoda od nefinancijske imovine dogodio se iz razloga što Općina Cerna ima veći broj kapitalnih investicija u tijeku, te su samim time rashodi znatno veći od ukupnih prihoda od nefinancijske imovine. Što se tiče manjka prihoda od financijske imovine, u prošloj godini Općina Cerna kratkoročno se zadužila u Privrednoj banci Zagreb, te je u ovoj godini na osnovi tog kredita primljeno još 57.355,42 €. Radi se o namjenskom kreditu za izgradnju dječjeg vrtića i biciklističko-pješačke staze u ulici Braće Radića. Iznos od 681.921,28 € odnosi se na knjiženje okvirnog kredita - minusa po žiro računu. Izdaci za financijsku imovinu odnose se na otplatu gore navedenog kratkoročnog kredita, dugoročnog kredita koji je podignut 2023. godine za izgradnju kolnika u ulici Mala Cerna, te također za knjiženje otplate okvirnog kredita - minusa po žiro računu. U skladu sa svim navedenim, na kraju izvještajnog razdoblja Općina Cerna ima manjak prihoda i primitaka u iznosu 754.868,32 €.</w:t>
      </w:r>
    </w:p>
    <w:p>
      <w:r>
        <w:br/>
      </w:r>
    </w:p>
    <w:p>
      <w:pPr>
        <w:jc w:val="center"/>
        <w:pStyle w:val="Normal"/>
        <w:spacing w:line="240" w:lineRule="auto"/>
        <w:keepNext/>
      </w:pPr>
      <w:r>
        <w:rPr>
          <w:sz w:val="28"/>
          <w:rFonts w:ascii="Times New Roman" w:hAnsi="Times New Roman"/>
        </w:rPr>
        <w:t>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Povrat poreza na dohodak po godišnjoj prijavi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226.887,69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poreza na dohodak po godišnjoj prijavi iznosi 226.887,69 €.</w:t>
      </w:r>
    </w:p>
    <w:p/>
    <w:p>
      <w:pPr>
        <w:jc w:val="center"/>
        <w:pStyle w:val="Normal"/>
        <w:spacing w:line="240" w:lineRule="auto"/>
        <w:keepNext/>
      </w:pPr>
      <w:r>
        <w:rPr>
          <w:sz w:val="28"/>
          <w:rFonts w:ascii="Times New Roman" w:hAnsi="Times New Roman"/>
        </w:rPr>
        <w:t>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414.339,84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65.643,04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w:t>
            </w:r>
          </w:p>
        </w:tc>
      </w:tr>
    </w:tbl>
    <w:p>
      <w:pPr>
        <w:spacing w:before="0" w:after="0"/>
      </w:pPr>
    </w:p>
    <w:p>
      <w:pPr>
        <w:jc w:val="both"/>
        <w:pStyle w:val="Normal"/>
        <w:spacing w:line="240" w:lineRule="auto"/>
      </w:pPr>
      <w:r>
        <w:rPr>
          <w:sz w:val="24"/>
          <w:rFonts w:ascii="Times New Roman" w:hAnsi="Times New Roman"/>
        </w:rPr>
        <w:t>Ukupan iznos od 65.643,04 € čini iznos od 31.866,00 € koji se odnosi na fiskalnu održivost dječjih vrtića za II. kvartal, te iznos od 33.777,04 € koji čini fiskalna održivost dječjih vrtića za I. kvartal i 1.911,04 € je iznos refundacije Vukovarsko – srijemske županije za održavanje lokalnih izbora. </w:t>
      </w:r>
    </w:p>
    <w:p/>
    <w:p>
      <w:pPr>
        <w:jc w:val="center"/>
        <w:pStyle w:val="Normal"/>
        <w:spacing w:line="240" w:lineRule="auto"/>
        <w:keepNext/>
      </w:pPr>
      <w:r>
        <w:rPr>
          <w:sz w:val="28"/>
          <w:rFonts w:ascii="Times New Roman" w:hAnsi="Times New Roman"/>
        </w:rPr>
        <w:t>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76.829,50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1.063.561,60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1384,3</w:t>
            </w:r>
          </w:p>
        </w:tc>
      </w:tr>
    </w:tbl>
    <w:p>
      <w:pPr>
        <w:spacing w:before="0" w:after="0"/>
      </w:pPr>
    </w:p>
    <w:p>
      <w:pPr>
        <w:jc w:val="both"/>
        <w:pStyle w:val="Normal"/>
        <w:spacing w:line="240" w:lineRule="auto"/>
      </w:pPr>
      <w:r>
        <w:rPr>
          <w:sz w:val="24"/>
          <w:rFonts w:ascii="Times New Roman" w:hAnsi="Times New Roman"/>
        </w:rPr>
        <w:t>Iznos od 1.063.561,60 € se sastoji od prihoda Državnog proračuna za izgradnju dječjeg vrtića u Cerni u iznosu 675.052,40 €, prihoda Fonda za zaštitu okoliša i energetsku učinkovitost za prilagodbu klimatskim promjenama u iznosu 199.158,15 €, prihoda Fonda za zaštitu okoliša i energetsku učinkovitost za izgradnju biciklističko - pješačke staze u Radićevoj ulici u Cerni u iznosu 41.910,95 €. Također ukupan iznos čine i prihodi Državnog proračuna za izgradnju pješačke staze u ulici A. T. Jemrića u Šiškovcima za I. fazu u iznosu 23.860,11 € te prihodi Fonda za zaštitu okoliša i energetsku učinkovitost za izgradnju biciklističko - pješačke staze u Cerni u Jurišićevoj ulici u iznosu 123.579,99 €.</w:t>
      </w:r>
    </w:p>
    <w:p/>
    <w:p>
      <w:pPr>
        <w:jc w:val="center"/>
        <w:pStyle w:val="Normal"/>
        <w:spacing w:line="240" w:lineRule="auto"/>
        <w:keepNext/>
      </w:pPr>
      <w:r>
        <w:rPr>
          <w:sz w:val="28"/>
          <w:rFonts w:ascii="Times New Roman" w:hAnsi="Times New Roman"/>
        </w:rPr>
        <w:t>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izvanproračunskih korisnika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205.340,25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91,3</w:t>
            </w:r>
          </w:p>
        </w:tc>
      </w:tr>
    </w:tbl>
    <w:p>
      <w:pPr>
        <w:spacing w:before="0" w:after="0"/>
      </w:pPr>
    </w:p>
    <w:p>
      <w:pPr>
        <w:jc w:val="both"/>
        <w:pStyle w:val="Normal"/>
        <w:spacing w:line="240" w:lineRule="auto"/>
      </w:pPr>
      <w:r>
        <w:rPr>
          <w:sz w:val="24"/>
          <w:rFonts w:ascii="Times New Roman" w:hAnsi="Times New Roman"/>
        </w:rPr>
        <w:t>Iznos od 205340,25 € je prihod Državnog proračuna po zahtjevima za nadoknadu sredstava za financiranje projekta Zaželi. </w:t>
      </w:r>
    </w:p>
    <w:p/>
    <w:p>
      <w:pPr>
        <w:jc w:val="center"/>
        <w:pStyle w:val="Normal"/>
        <w:spacing w:line="240" w:lineRule="auto"/>
        <w:keepNext/>
      </w:pPr>
      <w:r>
        <w:rPr>
          <w:sz w:val="28"/>
          <w:rFonts w:ascii="Times New Roman" w:hAnsi="Times New Roman"/>
        </w:rPr>
        <w:t>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fiskalnog izravnanja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399.558,54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Prihod u iznosu 399.558,54 € je prihod Državnog proračuna – pomoć fiskalnog izravnanja.</w:t>
      </w:r>
    </w:p>
    <w:p/>
    <w:p>
      <w:pPr>
        <w:jc w:val="center"/>
        <w:pStyle w:val="Normal"/>
        <w:spacing w:line="240" w:lineRule="auto"/>
        <w:keepNext/>
      </w:pPr>
      <w:r>
        <w:rPr>
          <w:sz w:val="28"/>
          <w:rFonts w:ascii="Times New Roman" w:hAnsi="Times New Roman"/>
        </w:rPr>
        <w:t>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64.459,89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64.459,89 € čine prihodi iz NPOO-a za financiranje izgradnje dječjeg vrtića u iznosu 53.277,47 € te izgradnju reciklažnog dvorišta u iznosu 11.182,42 €.</w:t>
      </w:r>
    </w:p>
    <w:p/>
    <w:p>
      <w:pPr>
        <w:jc w:val="center"/>
        <w:pStyle w:val="Normal"/>
        <w:spacing w:line="240" w:lineRule="auto"/>
        <w:keepNext/>
      </w:pPr>
      <w:r>
        <w:rPr>
          <w:sz w:val="28"/>
          <w:rFonts w:ascii="Times New Roman" w:hAnsi="Times New Roman"/>
        </w:rPr>
        <w:t>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koncesije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6.475,25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w:t>
            </w:r>
          </w:p>
        </w:tc>
      </w:tr>
    </w:tbl>
    <w:p>
      <w:pPr>
        <w:spacing w:before="0" w:after="0"/>
      </w:pPr>
    </w:p>
    <w:p>
      <w:pPr>
        <w:jc w:val="both"/>
        <w:pStyle w:val="Normal"/>
        <w:spacing w:line="240" w:lineRule="auto"/>
      </w:pPr>
      <w:r>
        <w:rPr>
          <w:sz w:val="24"/>
          <w:rFonts w:ascii="Times New Roman" w:hAnsi="Times New Roman"/>
        </w:rPr>
        <w:t>Naknada za koncesiju 5.972,53 € za odvoz komunalnog otpada.</w:t>
      </w:r>
    </w:p>
    <w:p/>
    <w:p>
      <w:pPr>
        <w:jc w:val="center"/>
        <w:pStyle w:val="Normal"/>
        <w:spacing w:line="240" w:lineRule="auto"/>
        <w:keepNext/>
      </w:pPr>
      <w:r>
        <w:rPr>
          <w:sz w:val="28"/>
          <w:rFonts w:ascii="Times New Roman" w:hAnsi="Times New Roman"/>
        </w:rPr>
        <w:t>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 od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14.003,09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25.151,21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179,6</w:t>
            </w:r>
          </w:p>
        </w:tc>
      </w:tr>
    </w:tbl>
    <w:p>
      <w:pPr>
        <w:spacing w:before="0" w:after="0"/>
      </w:pPr>
    </w:p>
    <w:p>
      <w:pPr>
        <w:jc w:val="both"/>
        <w:pStyle w:val="Normal"/>
        <w:spacing w:line="240" w:lineRule="auto"/>
      </w:pPr>
      <w:r>
        <w:rPr>
          <w:sz w:val="24"/>
          <w:rFonts w:ascii="Times New Roman" w:hAnsi="Times New Roman"/>
        </w:rPr>
        <w:t>Iznos od 25.151,21 € čine prihodi od naknade za zadržavanje nezakonito izgrađenih zgrada u iznosu od 326,87 €,  iznos od 645,83 € naknada za osnivanje prava građenja te prihodi Hrvatskog zavoda za zapošljavanje u iznosu 24.178,51 € za zapošljavanje djelatnika u javni rad.</w:t>
      </w:r>
    </w:p>
    <w:p/>
    <w:p>
      <w:pPr>
        <w:jc w:val="center"/>
        <w:pStyle w:val="Normal"/>
        <w:spacing w:line="240" w:lineRule="auto"/>
        <w:keepNext/>
      </w:pPr>
      <w:r>
        <w:rPr>
          <w:sz w:val="28"/>
          <w:rFonts w:ascii="Times New Roman" w:hAnsi="Times New Roman"/>
        </w:rPr>
        <w:t>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šume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81.123,62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234.949,61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289,6</w:t>
            </w:r>
          </w:p>
        </w:tc>
      </w:tr>
    </w:tbl>
    <w:p>
      <w:pPr>
        <w:spacing w:before="0" w:after="0"/>
      </w:pPr>
    </w:p>
    <w:p>
      <w:pPr>
        <w:jc w:val="both"/>
        <w:pStyle w:val="Normal"/>
        <w:spacing w:line="240" w:lineRule="auto"/>
      </w:pPr>
      <w:r>
        <w:rPr>
          <w:sz w:val="24"/>
          <w:rFonts w:ascii="Times New Roman" w:hAnsi="Times New Roman"/>
        </w:rPr>
        <w:t>Doprinosi za šume iznose 234.949,61 €.</w:t>
      </w:r>
    </w:p>
    <w:p/>
    <w:p>
      <w:pPr>
        <w:jc w:val="center"/>
        <w:pStyle w:val="Normal"/>
        <w:spacing w:line="240" w:lineRule="auto"/>
        <w:keepNext/>
      </w:pPr>
      <w:r>
        <w:rPr>
          <w:sz w:val="28"/>
          <w:rFonts w:ascii="Times New Roman" w:hAnsi="Times New Roman"/>
        </w:rPr>
        <w:t>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34.533,57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36.561,27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105,9</w:t>
            </w:r>
          </w:p>
        </w:tc>
      </w:tr>
    </w:tbl>
    <w:p>
      <w:pPr>
        <w:spacing w:before="0" w:after="0"/>
      </w:pPr>
    </w:p>
    <w:p>
      <w:pPr>
        <w:jc w:val="both"/>
        <w:pStyle w:val="Normal"/>
        <w:spacing w:line="240" w:lineRule="auto"/>
      </w:pPr>
      <w:r>
        <w:rPr>
          <w:sz w:val="24"/>
          <w:rFonts w:ascii="Times New Roman" w:hAnsi="Times New Roman"/>
        </w:rPr>
        <w:t>Ukupan iznos komunalne naknade iznosi 36.561,27 €. </w:t>
      </w:r>
    </w:p>
    <w:p/>
    <w:p>
      <w:pPr>
        <w:jc w:val="center"/>
        <w:pStyle w:val="Normal"/>
        <w:spacing w:line="240" w:lineRule="auto"/>
        <w:keepNext/>
      </w:pPr>
      <w:r>
        <w:rPr>
          <w:sz w:val="28"/>
          <w:rFonts w:ascii="Times New Roman" w:hAnsi="Times New Roman"/>
        </w:rPr>
        <w:t>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21.935,73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26.686,08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121,7</w:t>
            </w:r>
          </w:p>
        </w:tc>
      </w:tr>
    </w:tbl>
    <w:p>
      <w:pPr>
        <w:spacing w:before="0" w:after="0"/>
      </w:pPr>
    </w:p>
    <w:p>
      <w:pPr>
        <w:jc w:val="both"/>
        <w:pStyle w:val="Normal"/>
        <w:spacing w:line="240" w:lineRule="auto"/>
      </w:pPr>
      <w:r>
        <w:rPr>
          <w:sz w:val="24"/>
          <w:rFonts w:ascii="Times New Roman" w:hAnsi="Times New Roman"/>
        </w:rPr>
        <w:t>Rashodi za električnu energiju 26.686,08 €.</w:t>
      </w:r>
    </w:p>
    <w:p/>
    <w:p>
      <w:pPr>
        <w:jc w:val="center"/>
        <w:pStyle w:val="Normal"/>
        <w:spacing w:line="240" w:lineRule="auto"/>
        <w:keepNext/>
      </w:pPr>
      <w:r>
        <w:rPr>
          <w:sz w:val="28"/>
          <w:rFonts w:ascii="Times New Roman" w:hAnsi="Times New Roman"/>
        </w:rPr>
        <w:t>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137.158,91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111.870,92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81,6</w:t>
            </w:r>
          </w:p>
        </w:tc>
      </w:tr>
    </w:tbl>
    <w:p>
      <w:pPr>
        <w:spacing w:before="0" w:after="0"/>
      </w:pPr>
    </w:p>
    <w:p>
      <w:pPr>
        <w:jc w:val="both"/>
        <w:pStyle w:val="Normal"/>
        <w:spacing w:line="240" w:lineRule="auto"/>
      </w:pPr>
      <w:r>
        <w:rPr>
          <w:sz w:val="24"/>
          <w:rFonts w:ascii="Times New Roman" w:hAnsi="Times New Roman"/>
        </w:rPr>
        <w:t>Iznos od 111.870,92 € čine elektromontažni radovi, dobave i ugradnje u iznosu 103.049,64 €, održavanje softwarea u iznosu 7.405,15 € te iznos od 331,70 € za održavanje transportnih sredstava, iznos od 1.084,43 € za održavanje postrojenja i opreme.</w:t>
      </w:r>
    </w:p>
    <w:p/>
    <w:p>
      <w:pPr>
        <w:jc w:val="center"/>
        <w:pStyle w:val="Normal"/>
        <w:spacing w:line="240" w:lineRule="auto"/>
        <w:keepNext/>
      </w:pPr>
      <w:r>
        <w:rPr>
          <w:sz w:val="28"/>
          <w:rFonts w:ascii="Times New Roman" w:hAnsi="Times New Roman"/>
        </w:rPr>
        <w:t>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29.411,26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208.547,22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709,1</w:t>
            </w:r>
          </w:p>
        </w:tc>
      </w:tr>
    </w:tbl>
    <w:p>
      <w:pPr>
        <w:spacing w:before="0" w:after="0"/>
      </w:pPr>
    </w:p>
    <w:p>
      <w:pPr>
        <w:jc w:val="both"/>
        <w:pStyle w:val="Normal"/>
        <w:spacing w:line="240" w:lineRule="auto"/>
      </w:pPr>
      <w:r>
        <w:rPr>
          <w:sz w:val="24"/>
          <w:rFonts w:ascii="Times New Roman" w:hAnsi="Times New Roman"/>
        </w:rPr>
        <w:t>Komunalne usluge u iznosu 208.547,22 € čini iznos od 1.263,79 € za opskrbu vodom, iznos od 17.623,04 € za odvoz komunalnog otpada, iznos od 24.035,83 € za deratizaciju i dezinsekciju te ostale komunalne usluge (sanacija poljskih puteva, sadnja stabala, izmještanje i zamjena hidranata, sadnja cvijeća, selekcija građevinskog materijala i sl.) u iznosu 165.624,56 €.</w:t>
      </w:r>
    </w:p>
    <w:p/>
    <w:p>
      <w:pPr>
        <w:jc w:val="center"/>
        <w:pStyle w:val="Normal"/>
        <w:spacing w:line="240" w:lineRule="auto"/>
        <w:keepNext/>
      </w:pPr>
      <w:r>
        <w:rPr>
          <w:sz w:val="28"/>
          <w:rFonts w:ascii="Times New Roman" w:hAnsi="Times New Roman"/>
        </w:rPr>
        <w:t>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trgovačkim društvima i zadrugama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54.163,77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74.618,00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137,8</w:t>
            </w:r>
          </w:p>
        </w:tc>
      </w:tr>
    </w:tbl>
    <w:p>
      <w:pPr>
        <w:spacing w:before="0" w:after="0"/>
      </w:pPr>
    </w:p>
    <w:p>
      <w:pPr>
        <w:jc w:val="both"/>
        <w:pStyle w:val="Normal"/>
        <w:spacing w:line="240" w:lineRule="auto"/>
      </w:pPr>
      <w:r>
        <w:rPr>
          <w:sz w:val="24"/>
          <w:rFonts w:ascii="Times New Roman" w:hAnsi="Times New Roman"/>
        </w:rPr>
        <w:t>Iznos od 74.618,00 € čini sufinanciranje boravka djece u privatnom vrtiću.</w:t>
      </w:r>
    </w:p>
    <w:p/>
    <w:p>
      <w:pPr>
        <w:jc w:val="center"/>
        <w:pStyle w:val="Normal"/>
        <w:spacing w:line="240" w:lineRule="auto"/>
        <w:keepNext/>
      </w:pPr>
      <w:r>
        <w:rPr>
          <w:sz w:val="28"/>
          <w:rFonts w:ascii="Times New Roman" w:hAnsi="Times New Roman"/>
        </w:rPr>
        <w:t>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6.831,05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18.791,00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275,1</w:t>
            </w:r>
          </w:p>
        </w:tc>
      </w:tr>
    </w:tbl>
    <w:p>
      <w:pPr>
        <w:spacing w:before="0" w:after="0"/>
      </w:pPr>
    </w:p>
    <w:p>
      <w:pPr>
        <w:jc w:val="both"/>
        <w:pStyle w:val="Normal"/>
        <w:spacing w:line="240" w:lineRule="auto"/>
      </w:pPr>
      <w:r>
        <w:rPr>
          <w:sz w:val="24"/>
          <w:rFonts w:ascii="Times New Roman" w:hAnsi="Times New Roman"/>
        </w:rPr>
        <w:t>Iznos od 18.791,00 € čini sufinanciranje boravka djece u općinskim i gradskim vrtićima u iznosu 7.192,00 €, sufinanciranje javne vatrogasne postrojbe u iznosu 250,00 € te sufinanciranje škole u prirodi u iznosu 11,349,00 €.</w:t>
      </w:r>
    </w:p>
    <w:p/>
    <w:p>
      <w:pPr>
        <w:jc w:val="center"/>
        <w:pStyle w:val="Normal"/>
        <w:spacing w:line="240" w:lineRule="auto"/>
        <w:keepNext/>
      </w:pPr>
      <w:r>
        <w:rPr>
          <w:sz w:val="28"/>
          <w:rFonts w:ascii="Times New Roman" w:hAnsi="Times New Roman"/>
        </w:rPr>
        <w:t>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54.190,73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123.886,34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228,6</w:t>
            </w:r>
          </w:p>
        </w:tc>
      </w:tr>
    </w:tbl>
    <w:p>
      <w:pPr>
        <w:spacing w:before="0" w:after="0"/>
      </w:pPr>
    </w:p>
    <w:p>
      <w:pPr>
        <w:jc w:val="both"/>
        <w:pStyle w:val="Normal"/>
        <w:spacing w:line="240" w:lineRule="auto"/>
      </w:pPr>
      <w:r>
        <w:rPr>
          <w:sz w:val="24"/>
          <w:rFonts w:ascii="Times New Roman" w:hAnsi="Times New Roman"/>
        </w:rPr>
        <w:t>Naknada građanima i kućanstvima u novcu 123.886,34 € odnosi se na
Pomoć obiteljima i kućanstvima	59.000,00
Ostale naknade iz proračuna u novcu	13.090,00
Novorođenče	18.046,34
Stipendije	33.750,00
</w:t>
      </w:r>
    </w:p>
    <w:p/>
    <w:p>
      <w:pPr>
        <w:jc w:val="center"/>
        <w:pStyle w:val="Normal"/>
        <w:spacing w:line="240" w:lineRule="auto"/>
        <w:keepNext/>
      </w:pPr>
      <w:r>
        <w:rPr>
          <w:sz w:val="28"/>
          <w:rFonts w:ascii="Times New Roman" w:hAnsi="Times New Roman"/>
        </w:rPr>
        <w:t>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13.762,29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31.417,56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228,3</w:t>
            </w:r>
          </w:p>
        </w:tc>
      </w:tr>
    </w:tbl>
    <w:p>
      <w:pPr>
        <w:spacing w:before="0" w:after="0"/>
      </w:pPr>
    </w:p>
    <w:p>
      <w:pPr>
        <w:jc w:val="both"/>
        <w:pStyle w:val="Normal"/>
        <w:spacing w:line="240" w:lineRule="auto"/>
      </w:pPr>
      <w:r>
        <w:rPr>
          <w:sz w:val="24"/>
          <w:rFonts w:ascii="Times New Roman" w:hAnsi="Times New Roman"/>
        </w:rPr>
        <w:t>Naknada građanima i kućanstvima u naravi 31.417,56 € odnosi se na 
Poticaj za stambeno zbrinjavanje	15.000,00
Sufinanciranje cijene prijevoza 	11.996,19
Stanovanje	318,42
</w:t>
      </w:r>
    </w:p>
    <w:p/>
    <w:p>
      <w:pPr>
        <w:jc w:val="center"/>
        <w:pStyle w:val="Normal"/>
        <w:spacing w:line="240" w:lineRule="auto"/>
        <w:keepNext/>
      </w:pPr>
      <w:r>
        <w:rPr>
          <w:sz w:val="28"/>
          <w:rFonts w:ascii="Times New Roman" w:hAnsi="Times New Roman"/>
        </w:rPr>
        <w:t>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141.728,43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198.250,02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139,9</w:t>
            </w:r>
          </w:p>
        </w:tc>
      </w:tr>
    </w:tbl>
    <w:p>
      <w:pPr>
        <w:spacing w:before="0" w:after="0"/>
      </w:pPr>
    </w:p>
    <w:p>
      <w:pPr>
        <w:jc w:val="both"/>
        <w:pStyle w:val="Normal"/>
        <w:spacing w:line="240" w:lineRule="auto"/>
      </w:pPr>
      <w:r>
        <w:rPr>
          <w:sz w:val="24"/>
          <w:rFonts w:ascii="Times New Roman" w:hAnsi="Times New Roman"/>
        </w:rPr>
        <w:t>Tekuće donacije 198.250,02 € odnose se na:
Crkve	20.343,75
Političke stranke	1.150,26
Sportske udruge	76.170,00
Udruge građana	8.000,00
Pokladno jahanje	3.866,85
Advent	6.357,81
DVD	25.500,00
Crveni križ	2.156,76
Udruge u kulturi	10.200,00
Grahijada	2.345,00
Ostale tekuće donacije	42.159,59
</w:t>
      </w:r>
    </w:p>
    <w:p/>
    <w:p>
      <w:pPr>
        <w:jc w:val="center"/>
        <w:pStyle w:val="Normal"/>
        <w:spacing w:line="240" w:lineRule="auto"/>
        <w:keepNext/>
      </w:pPr>
      <w:r>
        <w:rPr>
          <w:sz w:val="28"/>
          <w:rFonts w:ascii="Times New Roman" w:hAnsi="Times New Roman"/>
        </w:rPr>
        <w:t>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1.970,00 € čini građevinsko zemljište. </w:t>
      </w:r>
    </w:p>
    <w:p/>
    <w:p>
      <w:pPr>
        <w:jc w:val="center"/>
        <w:pStyle w:val="Normal"/>
        <w:spacing w:line="240" w:lineRule="auto"/>
        <w:keepNext/>
      </w:pPr>
      <w:r>
        <w:rPr>
          <w:sz w:val="28"/>
          <w:rFonts w:ascii="Times New Roman" w:hAnsi="Times New Roman"/>
        </w:rPr>
        <w:t>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Stambeni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87,1</w:t>
            </w:r>
          </w:p>
        </w:tc>
      </w:tr>
    </w:tbl>
    <w:p>
      <w:pPr>
        <w:spacing w:before="0" w:after="0"/>
      </w:pPr>
    </w:p>
    <w:p>
      <w:pPr>
        <w:jc w:val="both"/>
        <w:pStyle w:val="Normal"/>
        <w:spacing w:line="240" w:lineRule="auto"/>
      </w:pPr>
      <w:r>
        <w:rPr>
          <w:sz w:val="24"/>
          <w:rFonts w:ascii="Times New Roman" w:hAnsi="Times New Roman"/>
        </w:rPr>
        <w:t>Iznos od 384,47 € čini prihod od prodaje stanova.</w:t>
      </w:r>
    </w:p>
    <w:p/>
    <w:p>
      <w:pPr>
        <w:jc w:val="center"/>
        <w:pStyle w:val="Normal"/>
        <w:spacing w:line="240" w:lineRule="auto"/>
        <w:keepNext/>
      </w:pPr>
      <w:r>
        <w:rPr>
          <w:sz w:val="28"/>
          <w:rFonts w:ascii="Times New Roman" w:hAnsi="Times New Roman"/>
        </w:rPr>
        <w:t>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4.032,00 € je prihod od prodaje traktora.</w:t>
      </w:r>
    </w:p>
    <w:p/>
    <w:p>
      <w:pPr>
        <w:jc w:val="center"/>
        <w:pStyle w:val="Normal"/>
        <w:spacing w:line="240" w:lineRule="auto"/>
        <w:keepNext/>
      </w:pPr>
      <w:r>
        <w:rPr>
          <w:sz w:val="28"/>
          <w:rFonts w:ascii="Times New Roman" w:hAnsi="Times New Roman"/>
        </w:rPr>
        <w:t>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36.970,00 € čine rashodi za kupovinu građevinskog zemljišta</w:t>
      </w:r>
    </w:p>
    <w:p/>
    <w:p>
      <w:pPr>
        <w:jc w:val="center"/>
        <w:pStyle w:val="Normal"/>
        <w:spacing w:line="240" w:lineRule="auto"/>
        <w:keepNext/>
      </w:pPr>
      <w:r>
        <w:rPr>
          <w:sz w:val="28"/>
          <w:rFonts w:ascii="Times New Roman" w:hAnsi="Times New Roman"/>
        </w:rPr>
        <w:t>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Poslovni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404.492,74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380.009,28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93,9</w:t>
            </w:r>
          </w:p>
        </w:tc>
      </w:tr>
    </w:tbl>
    <w:p>
      <w:pPr>
        <w:spacing w:before="0" w:after="0"/>
      </w:pPr>
    </w:p>
    <w:p>
      <w:pPr>
        <w:jc w:val="both"/>
        <w:pStyle w:val="Normal"/>
        <w:spacing w:line="240" w:lineRule="auto"/>
      </w:pPr>
      <w:r>
        <w:rPr>
          <w:sz w:val="24"/>
          <w:rFonts w:ascii="Times New Roman" w:hAnsi="Times New Roman"/>
        </w:rPr>
        <w:t>Na poslovne objekte utrošeno je 380.009,28 €. 141.141,45 € odnosi se na izgradnju i dogradnju dječjeg vrtića. 229.117,83 € čini trošak za izgradnju reciklažnog dvorišta, 5.625,00 € za vatrogasni dom, a 4.125,00 € odnosi se na trošak izrade glavnog projekta za izgradnju Doma hrvatskih branitelja i umirovljenika. </w:t>
      </w:r>
    </w:p>
    <w:p/>
    <w:p>
      <w:pPr>
        <w:jc w:val="center"/>
        <w:pStyle w:val="Normal"/>
        <w:spacing w:line="240" w:lineRule="auto"/>
        <w:keepNext/>
      </w:pPr>
      <w:r>
        <w:rPr>
          <w:sz w:val="28"/>
          <w:rFonts w:ascii="Times New Roman" w:hAnsi="Times New Roman"/>
        </w:rPr>
        <w:t>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71.162,76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172.339,17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242,2</w:t>
            </w:r>
          </w:p>
        </w:tc>
      </w:tr>
    </w:tbl>
    <w:p>
      <w:pPr>
        <w:spacing w:before="0" w:after="0"/>
      </w:pPr>
    </w:p>
    <w:p>
      <w:pPr>
        <w:jc w:val="both"/>
        <w:pStyle w:val="Normal"/>
        <w:spacing w:line="240" w:lineRule="auto"/>
      </w:pPr>
      <w:r>
        <w:rPr>
          <w:sz w:val="24"/>
          <w:rFonts w:ascii="Times New Roman" w:hAnsi="Times New Roman"/>
        </w:rPr>
        <w:t>Na rekonstrukciju ceste utrošeno je 172.339,17 €. </w:t>
      </w:r>
    </w:p>
    <w:p/>
    <w:p>
      <w:pPr>
        <w:jc w:val="center"/>
        <w:pStyle w:val="Normal"/>
        <w:spacing w:line="240" w:lineRule="auto"/>
        <w:keepNext/>
      </w:pPr>
      <w:r>
        <w:rPr>
          <w:sz w:val="28"/>
          <w:rFonts w:ascii="Times New Roman" w:hAnsi="Times New Roman"/>
        </w:rPr>
        <w:t>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178.401,97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675.581,53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378,7</w:t>
            </w:r>
          </w:p>
        </w:tc>
      </w:tr>
    </w:tbl>
    <w:p>
      <w:pPr>
        <w:spacing w:before="0" w:after="0"/>
      </w:pPr>
    </w:p>
    <w:p>
      <w:pPr>
        <w:jc w:val="both"/>
        <w:pStyle w:val="Normal"/>
        <w:spacing w:line="240" w:lineRule="auto"/>
      </w:pPr>
      <w:r>
        <w:rPr>
          <w:sz w:val="24"/>
          <w:rFonts w:ascii="Times New Roman" w:hAnsi="Times New Roman"/>
        </w:rPr>
        <w:t>Na ostale građevinske objekte utrošeno je sveukupno 675.581,53 €. Od toga 55.351,25 odnosi se na rekonstrukciju postojeće javne rasvjete na području Općine Cerna. Na izgradnju biciklističko-pješačkih staza utrošeno je 369.525,86 €. Iznos od 242.954,11 € odnosi se na izgradnju pješačkih staza, platoa i asfaltiranje parkirališta na području Općine Cerna. 2.062,50 € čini trošak za izgradnju tribina, a 5.687,80 € na radove na zoni Zagrađe. </w:t>
      </w:r>
    </w:p>
    <w:p/>
    <w:p>
      <w:pPr>
        <w:jc w:val="center"/>
        <w:pStyle w:val="Normal"/>
        <w:spacing w:line="240" w:lineRule="auto"/>
        <w:keepNext/>
      </w:pPr>
      <w:r>
        <w:rPr>
          <w:sz w:val="28"/>
          <w:rFonts w:ascii="Times New Roman" w:hAnsi="Times New Roman"/>
        </w:rPr>
        <w:t>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3.281,93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17.145,86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522,4</w:t>
            </w:r>
          </w:p>
        </w:tc>
      </w:tr>
    </w:tbl>
    <w:p>
      <w:pPr>
        <w:spacing w:before="0" w:after="0"/>
      </w:pPr>
    </w:p>
    <w:p>
      <w:pPr>
        <w:jc w:val="both"/>
        <w:pStyle w:val="Normal"/>
        <w:spacing w:line="240" w:lineRule="auto"/>
      </w:pPr>
      <w:r>
        <w:rPr>
          <w:sz w:val="24"/>
          <w:rFonts w:ascii="Times New Roman" w:hAnsi="Times New Roman"/>
        </w:rPr>
        <w:t>Uredsku opremu i namještaj čini iznos od 17.145,86 €. Iznos se odnosi na računala i računalnu opremu u iznosu od 3.522,79 €, te na uredske ormare, stolove i stolice 13.623,07 €.</w:t>
      </w:r>
    </w:p>
    <w:p/>
    <w:p>
      <w:pPr>
        <w:jc w:val="center"/>
        <w:pStyle w:val="Normal"/>
        <w:spacing w:line="240" w:lineRule="auto"/>
        <w:keepNext/>
      </w:pPr>
      <w:r>
        <w:rPr>
          <w:sz w:val="28"/>
          <w:rFonts w:ascii="Times New Roman" w:hAnsi="Times New Roman"/>
        </w:rPr>
        <w:t>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Instrumenti i uređaji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70.577,79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3500,4</w:t>
            </w:r>
          </w:p>
        </w:tc>
      </w:tr>
    </w:tbl>
    <w:p>
      <w:pPr>
        <w:spacing w:before="0" w:after="0"/>
      </w:pPr>
    </w:p>
    <w:p>
      <w:pPr>
        <w:jc w:val="both"/>
        <w:pStyle w:val="Normal"/>
        <w:spacing w:line="240" w:lineRule="auto"/>
      </w:pPr>
      <w:r>
        <w:rPr>
          <w:sz w:val="24"/>
          <w:rFonts w:ascii="Times New Roman" w:hAnsi="Times New Roman"/>
        </w:rPr>
        <w:t>Na instrumente i uređaje utrošeno je 70.577,79 €, a iznos se odnosi na izgradnju semafora i mjerača brzine. </w:t>
      </w:r>
    </w:p>
    <w:p/>
    <w:p>
      <w:pPr>
        <w:jc w:val="center"/>
        <w:pStyle w:val="Normal"/>
        <w:spacing w:line="240" w:lineRule="auto"/>
        <w:keepNext/>
      </w:pPr>
      <w:r>
        <w:rPr>
          <w:sz w:val="28"/>
          <w:rFonts w:ascii="Times New Roman" w:hAnsi="Times New Roman"/>
        </w:rPr>
        <w:t>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84.049,41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23.200,63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w:t>
            </w:r>
          </w:p>
        </w:tc>
      </w:tr>
    </w:tbl>
    <w:p>
      <w:pPr>
        <w:spacing w:before="0" w:after="0"/>
      </w:pPr>
    </w:p>
    <w:p>
      <w:pPr>
        <w:jc w:val="both"/>
        <w:pStyle w:val="Normal"/>
        <w:spacing w:line="240" w:lineRule="auto"/>
      </w:pPr>
      <w:r>
        <w:rPr>
          <w:sz w:val="24"/>
          <w:rFonts w:ascii="Times New Roman" w:hAnsi="Times New Roman"/>
        </w:rPr>
        <w:t>Od ostalih uređaja, strojeva i opreme nabavljana je oprema za video nadzor kod novo izgrađenog dječjeg vrtića, solo kosilice te kamere. Na navedeno ukupno je utrošeno 23.200,63 € </w:t>
      </w:r>
    </w:p>
    <w:p/>
    <w:p>
      <w:pPr>
        <w:jc w:val="center"/>
        <w:pStyle w:val="Normal"/>
        <w:spacing w:line="240" w:lineRule="auto"/>
        <w:keepNext/>
      </w:pPr>
      <w:r>
        <w:rPr>
          <w:sz w:val="28"/>
          <w:rFonts w:ascii="Times New Roman" w:hAnsi="Times New Roman"/>
        </w:rPr>
        <w:t>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10.012,39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98,6</w:t>
            </w:r>
          </w:p>
        </w:tc>
      </w:tr>
    </w:tbl>
    <w:p>
      <w:pPr>
        <w:spacing w:before="0" w:after="0"/>
      </w:pPr>
    </w:p>
    <w:p>
      <w:pPr>
        <w:jc w:val="both"/>
        <w:pStyle w:val="Normal"/>
        <w:spacing w:line="240" w:lineRule="auto"/>
      </w:pPr>
      <w:r>
        <w:rPr>
          <w:sz w:val="24"/>
          <w:rFonts w:ascii="Times New Roman" w:hAnsi="Times New Roman"/>
        </w:rPr>
        <w:t>10.012,39 € utrošeno je na novi traktor. </w:t>
      </w:r>
    </w:p>
    <w:p/>
    <w:p>
      <w:pPr>
        <w:jc w:val="center"/>
        <w:pStyle w:val="Normal"/>
        <w:spacing w:line="240" w:lineRule="auto"/>
        <w:keepNext/>
      </w:pPr>
      <w:r>
        <w:rPr>
          <w:sz w:val="28"/>
          <w:rFonts w:ascii="Times New Roman" w:hAnsi="Times New Roman"/>
        </w:rPr>
        <w:t>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33.503,86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w:t>
            </w:r>
          </w:p>
        </w:tc>
      </w:tr>
    </w:tbl>
    <w:p>
      <w:pPr>
        <w:spacing w:before="0" w:after="0"/>
      </w:pPr>
    </w:p>
    <w:p>
      <w:pPr>
        <w:jc w:val="both"/>
        <w:pStyle w:val="Normal"/>
        <w:spacing w:line="240" w:lineRule="auto"/>
      </w:pPr>
      <w:r>
        <w:rPr>
          <w:sz w:val="24"/>
          <w:rFonts w:ascii="Times New Roman" w:hAnsi="Times New Roman"/>
        </w:rPr>
        <w:t>Iznos se odnosi na dodatna ulaganja u prostorijama Općine.</w:t>
      </w:r>
    </w:p>
    <w:p/>
    <w:p>
      <w:pPr>
        <w:jc w:val="center"/>
        <w:pStyle w:val="Normal"/>
        <w:spacing w:line="240" w:lineRule="auto"/>
        <w:keepNext/>
      </w:pPr>
      <w:r>
        <w:rPr>
          <w:sz w:val="28"/>
          <w:rFonts w:ascii="Times New Roman" w:hAnsi="Times New Roman"/>
        </w:rPr>
        <w:t>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krediti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739.276,70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739.276,70 € čini kratkoročni kredit kod Privredne banke Zagreb u iznosu od 57.355,42 €, a iznos od 681.921,28 € knjiženje minusa po žiro računu. </w:t>
      </w:r>
    </w:p>
    <w:p/>
    <w:p>
      <w:pPr>
        <w:jc w:val="center"/>
        <w:pStyle w:val="Normal"/>
        <w:spacing w:line="240" w:lineRule="auto"/>
        <w:keepNext/>
      </w:pPr>
      <w:r>
        <w:rPr>
          <w:sz w:val="28"/>
          <w:rFonts w:ascii="Times New Roman" w:hAnsi="Times New Roman"/>
        </w:rPr>
        <w:t>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57.145,74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1.343.574,36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2351,1</w:t>
            </w:r>
          </w:p>
        </w:tc>
      </w:tr>
    </w:tbl>
    <w:p>
      <w:pPr>
        <w:spacing w:before="0" w:after="0"/>
      </w:pPr>
    </w:p>
    <w:p>
      <w:pPr>
        <w:jc w:val="both"/>
        <w:pStyle w:val="Normal"/>
        <w:spacing w:line="240" w:lineRule="auto"/>
      </w:pPr>
      <w:r>
        <w:rPr>
          <w:sz w:val="24"/>
          <w:rFonts w:ascii="Times New Roman" w:hAnsi="Times New Roman"/>
        </w:rPr>
        <w:t>Otplatu glavnice primljenih kredita od tuzemnih kreditnih institucija izvan javnog sektora čini iznos od 1.343.574,36 €. Od toga, 719.219,58 € odnosi se na otplatu kratkoročnog, a 57.145,74 € dugoročnog kredita kod Privredne banke Zagreb. 562.209,04 € odnosi se na evidentiranje minusa po žiro računu</w:t>
      </w:r>
    </w:p>
    <w:p/>
    <w:p>
      <w:pPr>
        <w:jc w:val="center"/>
        <w:pStyle w:val="Normal"/>
        <w:spacing w:line="240" w:lineRule="auto"/>
        <w:keepNext/>
      </w:pPr>
      <w:r>
        <w:rPr>
          <w:b/>
          <w:sz w:val="28"/>
          <w:rFonts w:ascii="Times New Roman" w:hAnsi="Times New Roman"/>
        </w:rPr>
        <w:t>Izvještaj o obvezama</w:t>
      </w:r>
    </w:p>
    <w:p>
      <w:pPr>
        <w:jc w:val="center"/>
        <w:pStyle w:val="Normal"/>
        <w:spacing w:line="240" w:lineRule="auto"/>
        <w:keepNext/>
      </w:pPr>
      <w:r>
        <w:rPr>
          <w:sz w:val="28"/>
          <w:rFonts w:ascii="Times New Roman" w:hAnsi="Times New Roman"/>
        </w:rPr>
        <w:t>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542.473,63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Iznos od 542.473,63 € čine dospjele a ne naplaćene obveze koje proizlaze iz nedostatka financijskih sredstava na računu Općine Cerna u trenutku dospijeća plaćanja računa. Naime, Općina Cerna znatno ulaže u izgradnju komunalne infrastrukture. Velik dio kapitalnih projekta podliježe sufinanciranju iz različitih izvora kapitalnih pomoći. Određene obveze prema izvođačima radova na kraju izvještajnog razdoblja su dospjele, ali ih nismo mogli podmiriti jer predujmove kapitalnih pomoći očekujemo u nadolazećem razdoblju. Zahtjevi za nadoknadu sredstava su poslani. </w:t>
      </w:r>
    </w:p>
    <w:p/>
  </w:body>
</w:document>
</file>

<file path=word/styles.xml><?xml version="1.0" encoding="utf-8"?>
<w:styles xmlns:w="http://schemas.openxmlformats.org/wordprocessingml/2006/main">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21180d9ba4fc4423" /></Relationships>
</file>