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3C520" w14:textId="77777777" w:rsidR="00FC2896" w:rsidRDefault="00FC2896" w:rsidP="00FC2896">
      <w:pPr>
        <w:autoSpaceDE w:val="0"/>
        <w:autoSpaceDN w:val="0"/>
        <w:adjustRightInd w:val="0"/>
        <w:spacing w:after="0" w:line="240" w:lineRule="auto"/>
        <w:jc w:val="center"/>
        <w:rPr>
          <w:rFonts w:ascii="Times New Roman" w:hAnsi="Times New Roman"/>
          <w:b/>
          <w:sz w:val="28"/>
          <w:szCs w:val="28"/>
          <w:lang w:eastAsia="en-GB"/>
        </w:rPr>
      </w:pPr>
    </w:p>
    <w:p w14:paraId="5A4E2B99" w14:textId="1F5682C6" w:rsidR="00FC2896" w:rsidRPr="001F34DC" w:rsidRDefault="00FC2896" w:rsidP="00FC2896">
      <w:pPr>
        <w:autoSpaceDE w:val="0"/>
        <w:autoSpaceDN w:val="0"/>
        <w:adjustRightInd w:val="0"/>
        <w:spacing w:after="0" w:line="240" w:lineRule="auto"/>
        <w:jc w:val="center"/>
        <w:rPr>
          <w:rFonts w:ascii="Times New Roman" w:hAnsi="Times New Roman"/>
          <w:b/>
          <w:sz w:val="28"/>
          <w:szCs w:val="28"/>
          <w:lang w:eastAsia="en-GB"/>
        </w:rPr>
      </w:pPr>
      <w:r w:rsidRPr="001F34DC">
        <w:rPr>
          <w:rFonts w:ascii="Times New Roman" w:hAnsi="Times New Roman"/>
          <w:b/>
          <w:sz w:val="28"/>
          <w:szCs w:val="28"/>
          <w:lang w:eastAsia="en-GB"/>
        </w:rPr>
        <w:t xml:space="preserve">OPĆINA </w:t>
      </w:r>
      <w:r>
        <w:rPr>
          <w:rFonts w:ascii="Times New Roman" w:hAnsi="Times New Roman"/>
          <w:b/>
          <w:sz w:val="28"/>
          <w:szCs w:val="28"/>
          <w:lang w:eastAsia="en-GB"/>
        </w:rPr>
        <w:t>CERNA</w:t>
      </w:r>
    </w:p>
    <w:p w14:paraId="03EB77A9" w14:textId="7322B82E" w:rsidR="00FC2896" w:rsidRPr="001F34DC" w:rsidRDefault="00FC2896" w:rsidP="00FC2896">
      <w:pPr>
        <w:autoSpaceDE w:val="0"/>
        <w:autoSpaceDN w:val="0"/>
        <w:adjustRightInd w:val="0"/>
        <w:spacing w:after="0" w:line="240" w:lineRule="auto"/>
        <w:jc w:val="center"/>
        <w:rPr>
          <w:rFonts w:ascii="Times New Roman" w:hAnsi="Times New Roman"/>
          <w:b/>
          <w:sz w:val="28"/>
          <w:szCs w:val="28"/>
          <w:lang w:eastAsia="en-GB"/>
        </w:rPr>
      </w:pPr>
      <w:r>
        <w:rPr>
          <w:rFonts w:ascii="Times New Roman" w:hAnsi="Times New Roman"/>
          <w:b/>
          <w:sz w:val="28"/>
          <w:szCs w:val="28"/>
          <w:lang w:eastAsia="en-GB"/>
        </w:rPr>
        <w:t>VUKOVARSKO-SRIJEMSKA ŽUPANIJA</w:t>
      </w:r>
    </w:p>
    <w:p w14:paraId="4E1CD686" w14:textId="77777777" w:rsidR="00FC2896" w:rsidRPr="001F34DC"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35EAA6C" w14:textId="77777777" w:rsidR="00FC2896" w:rsidRPr="001F34DC"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21BCBF9D" w14:textId="77777777" w:rsidR="00FC2896" w:rsidRPr="001F34DC" w:rsidRDefault="00FC2896" w:rsidP="00FC2896">
      <w:pPr>
        <w:autoSpaceDE w:val="0"/>
        <w:autoSpaceDN w:val="0"/>
        <w:adjustRightInd w:val="0"/>
        <w:spacing w:after="0" w:line="240" w:lineRule="auto"/>
        <w:rPr>
          <w:rFonts w:ascii="Times New Roman" w:hAnsi="Times New Roman"/>
          <w:b/>
          <w:i/>
          <w:sz w:val="28"/>
          <w:szCs w:val="28"/>
          <w:lang w:eastAsia="en-GB"/>
        </w:rPr>
      </w:pPr>
    </w:p>
    <w:p w14:paraId="610F9D5C" w14:textId="77777777" w:rsidR="00FC2896" w:rsidRPr="001F34DC" w:rsidRDefault="00FC2896" w:rsidP="00FC2896">
      <w:pPr>
        <w:autoSpaceDE w:val="0"/>
        <w:autoSpaceDN w:val="0"/>
        <w:adjustRightInd w:val="0"/>
        <w:spacing w:after="0" w:line="240" w:lineRule="auto"/>
        <w:rPr>
          <w:rFonts w:ascii="Times New Roman" w:hAnsi="Times New Roman"/>
          <w:b/>
          <w:i/>
          <w:sz w:val="28"/>
          <w:szCs w:val="28"/>
          <w:lang w:eastAsia="en-GB"/>
        </w:rPr>
      </w:pPr>
    </w:p>
    <w:p w14:paraId="2F14BC86" w14:textId="77777777" w:rsidR="00FC2896"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9911BF3" w14:textId="77777777" w:rsidR="00FC2896"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5EEA06C0" w14:textId="77777777" w:rsidR="00FC2896"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5311ECE9" w14:textId="77777777" w:rsidR="00FC2896"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71BA7577" w14:textId="77777777" w:rsidR="00FC2896"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193959BB" w14:textId="77777777" w:rsidR="00FC2896" w:rsidRPr="001F34DC"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8342C61" w14:textId="77777777" w:rsidR="00FC2896" w:rsidRPr="001F34DC" w:rsidRDefault="00FC2896" w:rsidP="00FC2896">
      <w:pPr>
        <w:autoSpaceDE w:val="0"/>
        <w:autoSpaceDN w:val="0"/>
        <w:adjustRightInd w:val="0"/>
        <w:spacing w:after="0" w:line="240" w:lineRule="auto"/>
        <w:jc w:val="center"/>
        <w:rPr>
          <w:rFonts w:ascii="Times New Roman" w:hAnsi="Times New Roman"/>
          <w:b/>
          <w:i/>
          <w:sz w:val="48"/>
          <w:szCs w:val="48"/>
          <w:lang w:eastAsia="en-GB"/>
        </w:rPr>
      </w:pPr>
    </w:p>
    <w:p w14:paraId="14977017" w14:textId="77777777" w:rsidR="00FC2896"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Pr>
          <w:rFonts w:ascii="Times New Roman" w:hAnsi="Times New Roman"/>
          <w:b/>
          <w:i/>
          <w:sz w:val="48"/>
          <w:szCs w:val="48"/>
          <w:lang w:eastAsia="en-GB"/>
        </w:rPr>
        <w:t xml:space="preserve">POSEBNI IZVJEŠTAJI I </w:t>
      </w:r>
    </w:p>
    <w:p w14:paraId="10B3D695" w14:textId="77777777" w:rsidR="00FC2896"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Pr>
          <w:rFonts w:ascii="Times New Roman" w:hAnsi="Times New Roman"/>
          <w:b/>
          <w:i/>
          <w:sz w:val="48"/>
          <w:szCs w:val="48"/>
          <w:lang w:eastAsia="en-GB"/>
        </w:rPr>
        <w:t>OBRAZLOŽENJE GODIŠNJEG IZVJEŠTAJA O IZVRŠENJU</w:t>
      </w:r>
      <w:r w:rsidRPr="001F34DC">
        <w:rPr>
          <w:rFonts w:ascii="Times New Roman" w:hAnsi="Times New Roman"/>
          <w:b/>
          <w:i/>
          <w:sz w:val="48"/>
          <w:szCs w:val="48"/>
          <w:lang w:eastAsia="en-GB"/>
        </w:rPr>
        <w:t xml:space="preserve"> </w:t>
      </w:r>
    </w:p>
    <w:p w14:paraId="5E3BDCC2" w14:textId="0C99E443" w:rsidR="00FC2896" w:rsidRPr="00C04153"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C04153">
        <w:rPr>
          <w:rFonts w:ascii="Times New Roman" w:hAnsi="Times New Roman"/>
          <w:b/>
          <w:i/>
          <w:sz w:val="48"/>
          <w:szCs w:val="48"/>
          <w:lang w:eastAsia="en-GB"/>
        </w:rPr>
        <w:t xml:space="preserve">PRORAČUNA OPĆINE </w:t>
      </w:r>
      <w:r>
        <w:rPr>
          <w:rFonts w:ascii="Times New Roman" w:hAnsi="Times New Roman"/>
          <w:b/>
          <w:i/>
          <w:sz w:val="48"/>
          <w:szCs w:val="48"/>
          <w:lang w:eastAsia="en-GB"/>
        </w:rPr>
        <w:t xml:space="preserve">CERNA </w:t>
      </w:r>
    </w:p>
    <w:p w14:paraId="3990D505" w14:textId="77777777" w:rsidR="00FC2896" w:rsidRPr="00C04153"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C04153">
        <w:rPr>
          <w:rFonts w:ascii="Times New Roman" w:hAnsi="Times New Roman"/>
          <w:b/>
          <w:i/>
          <w:sz w:val="48"/>
          <w:szCs w:val="48"/>
          <w:lang w:eastAsia="en-GB"/>
        </w:rPr>
        <w:t>ZA 20</w:t>
      </w:r>
      <w:r>
        <w:rPr>
          <w:rFonts w:ascii="Times New Roman" w:hAnsi="Times New Roman"/>
          <w:b/>
          <w:i/>
          <w:sz w:val="48"/>
          <w:szCs w:val="48"/>
          <w:lang w:eastAsia="en-GB"/>
        </w:rPr>
        <w:t>23</w:t>
      </w:r>
      <w:r w:rsidRPr="00C04153">
        <w:rPr>
          <w:rFonts w:ascii="Times New Roman" w:hAnsi="Times New Roman"/>
          <w:b/>
          <w:i/>
          <w:sz w:val="48"/>
          <w:szCs w:val="48"/>
          <w:lang w:eastAsia="en-GB"/>
        </w:rPr>
        <w:t>. GODINU</w:t>
      </w:r>
    </w:p>
    <w:p w14:paraId="0448F2CB"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7D96FE47"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4A5F443"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D987B98"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DCA341C"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413DF15C"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0613270"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BD8A843"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1BBE750"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10A5A92E"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E57F745"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4FB5D653"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DEC1A34"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5B5ED85" w14:textId="77777777" w:rsidR="00FC2896"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1D1F4D6" w14:textId="77777777" w:rsidR="00FC2896" w:rsidRPr="001F34DC"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EAA75BC" w14:textId="1C6A5139" w:rsidR="00FC2896" w:rsidRPr="00797197" w:rsidRDefault="00FC2896" w:rsidP="00FC2896">
      <w:pPr>
        <w:autoSpaceDE w:val="0"/>
        <w:autoSpaceDN w:val="0"/>
        <w:adjustRightInd w:val="0"/>
        <w:spacing w:after="0" w:line="240" w:lineRule="auto"/>
        <w:jc w:val="center"/>
        <w:rPr>
          <w:rFonts w:ascii="Times New Roman" w:hAnsi="Times New Roman"/>
          <w:b/>
          <w:sz w:val="24"/>
          <w:szCs w:val="24"/>
          <w:lang w:eastAsia="en-GB"/>
        </w:rPr>
      </w:pPr>
      <w:r>
        <w:rPr>
          <w:rFonts w:ascii="Times New Roman" w:hAnsi="Times New Roman"/>
          <w:b/>
          <w:sz w:val="24"/>
          <w:szCs w:val="24"/>
          <w:lang w:eastAsia="en-GB"/>
        </w:rPr>
        <w:t>Svibanj</w:t>
      </w:r>
      <w:r w:rsidRPr="00C57A3C">
        <w:rPr>
          <w:rFonts w:ascii="Times New Roman" w:hAnsi="Times New Roman"/>
          <w:b/>
          <w:sz w:val="24"/>
          <w:szCs w:val="24"/>
          <w:lang w:eastAsia="en-GB"/>
        </w:rPr>
        <w:t>, 202</w:t>
      </w:r>
      <w:r w:rsidR="007F00D6">
        <w:rPr>
          <w:rFonts w:ascii="Times New Roman" w:hAnsi="Times New Roman"/>
          <w:b/>
          <w:sz w:val="24"/>
          <w:szCs w:val="24"/>
          <w:lang w:eastAsia="en-GB"/>
        </w:rPr>
        <w:t>4</w:t>
      </w:r>
      <w:r w:rsidRPr="00C57A3C">
        <w:rPr>
          <w:rFonts w:ascii="Times New Roman" w:hAnsi="Times New Roman"/>
          <w:b/>
          <w:sz w:val="24"/>
          <w:szCs w:val="24"/>
          <w:lang w:eastAsia="en-GB"/>
        </w:rPr>
        <w:t>. godina</w:t>
      </w:r>
    </w:p>
    <w:p w14:paraId="2BCE3370" w14:textId="08BC3E56" w:rsidR="00B417CC" w:rsidRDefault="00B417CC"/>
    <w:p w14:paraId="5CDF6B4E" w14:textId="3EF64470" w:rsidR="00FC2896" w:rsidRPr="007E7597" w:rsidRDefault="00FC2896" w:rsidP="00EF4B1F">
      <w:pPr>
        <w:pStyle w:val="Odlomakpopisa"/>
        <w:numPr>
          <w:ilvl w:val="0"/>
          <w:numId w:val="11"/>
        </w:numPr>
        <w:rPr>
          <w:b/>
          <w:bCs/>
        </w:rPr>
      </w:pPr>
      <w:r w:rsidRPr="007E7597">
        <w:rPr>
          <w:rFonts w:ascii="Times New Roman" w:hAnsi="Times New Roman"/>
          <w:b/>
          <w:bCs/>
        </w:rPr>
        <w:lastRenderedPageBreak/>
        <w:t xml:space="preserve">ZAKONSKA OBVEZA </w:t>
      </w:r>
    </w:p>
    <w:p w14:paraId="7BC7E5B4" w14:textId="77777777" w:rsidR="00FC2896" w:rsidRPr="00FC2896" w:rsidRDefault="00FC2896" w:rsidP="00EF4B1F">
      <w:pPr>
        <w:spacing w:line="240" w:lineRule="auto"/>
        <w:jc w:val="both"/>
        <w:rPr>
          <w:rFonts w:ascii="Times New Roman" w:hAnsi="Times New Roman"/>
        </w:rPr>
      </w:pPr>
      <w:r w:rsidRPr="00FC2896">
        <w:rPr>
          <w:rFonts w:ascii="Times New Roman" w:hAnsi="Times New Roman"/>
        </w:rPr>
        <w:t>Zakonom o proračunu ( „Narodne novine“ br. 144/21) propisana je obaveza izrade i donošenja Godišnjeg izvještaja o izvršenju proračuna predstavničkom tijelu na donošenje do 31. svibnja tekuće godine za prethodnu godinu.</w:t>
      </w:r>
    </w:p>
    <w:p w14:paraId="3EC43622" w14:textId="77777777" w:rsidR="00FC2896" w:rsidRPr="00FC2896" w:rsidRDefault="00FC2896" w:rsidP="00EF4B1F">
      <w:pPr>
        <w:spacing w:line="240" w:lineRule="auto"/>
        <w:jc w:val="both"/>
        <w:rPr>
          <w:rFonts w:ascii="Times New Roman" w:hAnsi="Times New Roman"/>
        </w:rPr>
      </w:pPr>
      <w:r w:rsidRPr="00FC2896">
        <w:rPr>
          <w:rFonts w:ascii="Times New Roman" w:hAnsi="Times New Roman"/>
        </w:rPr>
        <w:t xml:space="preserve">Sadržaj godišnjeg izvještaja o izvršenju proračuna definiran je odredbama članka 4. Pravilnika o polugodišnjem i godišnjem izvještaju o izvršenju proračuna i financijskog plana </w:t>
      </w:r>
      <w:r w:rsidRPr="00FC2896">
        <w:rPr>
          <w:rFonts w:ascii="Times New Roman" w:hAnsi="Times New Roman"/>
          <w:bCs/>
        </w:rPr>
        <w:t>(„Narodne novine“ broj 85/2023.)</w:t>
      </w:r>
      <w:r w:rsidRPr="00FC2896">
        <w:rPr>
          <w:rFonts w:ascii="Times New Roman" w:hAnsi="Times New Roman"/>
        </w:rPr>
        <w:t xml:space="preserve"> i u članku 76. Zakona o proračunu („Narodne novine“ broj 144/2021.). U skladu sa zakonskom obvezom Godišnji izvještaj o izvršenju proračuna Općine Cerna za 2023. godinu sadrži:</w:t>
      </w:r>
    </w:p>
    <w:p w14:paraId="18E1BDB8" w14:textId="77777777" w:rsidR="00FC2896" w:rsidRPr="00FC2896" w:rsidRDefault="00FC2896" w:rsidP="00EF4B1F">
      <w:pPr>
        <w:numPr>
          <w:ilvl w:val="0"/>
          <w:numId w:val="2"/>
        </w:numPr>
        <w:spacing w:after="0" w:line="240" w:lineRule="auto"/>
        <w:jc w:val="both"/>
        <w:rPr>
          <w:rFonts w:ascii="Times New Roman" w:hAnsi="Times New Roman"/>
        </w:rPr>
      </w:pPr>
      <w:r w:rsidRPr="00FC2896">
        <w:rPr>
          <w:rFonts w:ascii="Times New Roman" w:hAnsi="Times New Roman"/>
        </w:rPr>
        <w:t>opći dio</w:t>
      </w:r>
    </w:p>
    <w:p w14:paraId="2737E954" w14:textId="77777777" w:rsidR="00FC2896" w:rsidRPr="00FC2896" w:rsidRDefault="00FC2896" w:rsidP="00EF4B1F">
      <w:pPr>
        <w:numPr>
          <w:ilvl w:val="0"/>
          <w:numId w:val="2"/>
        </w:numPr>
        <w:spacing w:after="0" w:line="240" w:lineRule="auto"/>
        <w:jc w:val="both"/>
        <w:rPr>
          <w:rFonts w:ascii="Times New Roman" w:hAnsi="Times New Roman"/>
        </w:rPr>
      </w:pPr>
      <w:r w:rsidRPr="00FC2896">
        <w:rPr>
          <w:rFonts w:ascii="Times New Roman" w:hAnsi="Times New Roman"/>
        </w:rPr>
        <w:t>posebni dio</w:t>
      </w:r>
    </w:p>
    <w:p w14:paraId="26FEF8CF" w14:textId="77777777" w:rsidR="00FC2896" w:rsidRPr="00FC2896" w:rsidRDefault="00FC2896" w:rsidP="00EF4B1F">
      <w:pPr>
        <w:numPr>
          <w:ilvl w:val="0"/>
          <w:numId w:val="2"/>
        </w:numPr>
        <w:spacing w:after="0" w:line="240" w:lineRule="auto"/>
        <w:jc w:val="both"/>
        <w:rPr>
          <w:rFonts w:ascii="Times New Roman" w:hAnsi="Times New Roman"/>
        </w:rPr>
      </w:pPr>
      <w:r w:rsidRPr="00FC2896">
        <w:rPr>
          <w:rFonts w:ascii="Times New Roman" w:hAnsi="Times New Roman"/>
        </w:rPr>
        <w:t>obrazloženje</w:t>
      </w:r>
    </w:p>
    <w:p w14:paraId="1E9BE702" w14:textId="77777777" w:rsidR="00FC2896" w:rsidRPr="00FC2896" w:rsidRDefault="00FC2896" w:rsidP="00EF4B1F">
      <w:pPr>
        <w:numPr>
          <w:ilvl w:val="0"/>
          <w:numId w:val="2"/>
        </w:numPr>
        <w:spacing w:after="0" w:line="240" w:lineRule="auto"/>
        <w:jc w:val="both"/>
        <w:rPr>
          <w:rFonts w:ascii="Times New Roman" w:hAnsi="Times New Roman"/>
        </w:rPr>
      </w:pPr>
      <w:r w:rsidRPr="00FC2896">
        <w:rPr>
          <w:rFonts w:ascii="Times New Roman" w:hAnsi="Times New Roman"/>
        </w:rPr>
        <w:t>posebne izvještaje.</w:t>
      </w:r>
    </w:p>
    <w:p w14:paraId="5DF9E7FB" w14:textId="77777777" w:rsidR="00FC2896" w:rsidRPr="00FC2896" w:rsidRDefault="00FC2896" w:rsidP="00EF4B1F">
      <w:pPr>
        <w:spacing w:after="0" w:line="240" w:lineRule="auto"/>
        <w:jc w:val="both"/>
        <w:rPr>
          <w:rFonts w:ascii="Times New Roman" w:eastAsia="Calibri" w:hAnsi="Times New Roman"/>
        </w:rPr>
      </w:pPr>
    </w:p>
    <w:p w14:paraId="5745611F" w14:textId="77777777" w:rsidR="00FC2896" w:rsidRPr="00FC2896" w:rsidRDefault="00FC2896" w:rsidP="00EF4B1F">
      <w:pPr>
        <w:spacing w:after="0" w:line="240" w:lineRule="auto"/>
        <w:jc w:val="both"/>
        <w:rPr>
          <w:rFonts w:ascii="Times New Roman" w:eastAsia="Calibri" w:hAnsi="Times New Roman"/>
        </w:rPr>
      </w:pPr>
      <w:r w:rsidRPr="00FC2896">
        <w:rPr>
          <w:rFonts w:ascii="Times New Roman" w:eastAsia="Calibri" w:hAnsi="Times New Roman"/>
        </w:rPr>
        <w:t>U posebnom dijelu godišnjeg izvještaja o izvršenju proračuna, u izvještaju po programskoj klasifikaciji plan rashoda i izdataka iskazan je na razini skupine ekonomske klasifikacije (druga razina računskog plana), a izvršenje za izvještajno razdoblje na razini skupine i odjeljka ekonomske klasifikacije (na drugoj i četvrtoj razini računskog plana) sukladno usvojenom Proračunu za 2023. godinu.</w:t>
      </w:r>
    </w:p>
    <w:p w14:paraId="1C0E038A" w14:textId="77777777" w:rsidR="00FC2896" w:rsidRPr="00FC2896" w:rsidRDefault="00FC2896" w:rsidP="00EF4B1F">
      <w:pPr>
        <w:spacing w:after="0" w:line="240" w:lineRule="auto"/>
        <w:jc w:val="both"/>
        <w:rPr>
          <w:rFonts w:ascii="Times New Roman" w:eastAsia="Calibri" w:hAnsi="Times New Roman"/>
        </w:rPr>
      </w:pPr>
    </w:p>
    <w:p w14:paraId="4A1A24E0"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r w:rsidRPr="00FC2896">
        <w:rPr>
          <w:rFonts w:ascii="Times New Roman" w:eastAsia="Calibri" w:hAnsi="Times New Roman"/>
          <w:kern w:val="3"/>
          <w:lang w:eastAsia="en-US"/>
        </w:rPr>
        <w:t xml:space="preserve">Godišnji izvještaj o izvršenju proračuna Općine Cerna za 2023. godinu objavit će se na internetskim stranicama Općine Cerna </w:t>
      </w:r>
      <w:hyperlink r:id="rId5" w:history="1">
        <w:r w:rsidRPr="00FC2896">
          <w:rPr>
            <w:rFonts w:ascii="Times New Roman" w:eastAsia="Calibri" w:hAnsi="Times New Roman"/>
            <w:color w:val="0563C1"/>
            <w:kern w:val="3"/>
            <w:u w:val="single"/>
            <w:lang w:eastAsia="en-US"/>
          </w:rPr>
          <w:t>https://cerna.hr/</w:t>
        </w:r>
      </w:hyperlink>
      <w:r w:rsidRPr="00FC2896">
        <w:rPr>
          <w:rFonts w:ascii="Times New Roman" w:eastAsia="Calibri" w:hAnsi="Times New Roman"/>
          <w:kern w:val="3"/>
          <w:lang w:eastAsia="en-US"/>
        </w:rPr>
        <w:t xml:space="preserve"> i u Službenom vjesniku Vukovarsko – srijemske županije.</w:t>
      </w:r>
    </w:p>
    <w:p w14:paraId="2D184D3A"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6C981F6A"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6F550201"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0C6710C5"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00FE6387"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4B696612"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5D6D5A5C"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252F7269"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7565EE88"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6B03866F"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7102A67C"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2D812049"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0DAA13FD" w14:textId="77777777" w:rsidR="00EF4B1F" w:rsidRDefault="00EF4B1F" w:rsidP="00EF4B1F">
      <w:pPr>
        <w:suppressAutoHyphens/>
        <w:autoSpaceDN w:val="0"/>
        <w:spacing w:after="160" w:line="240" w:lineRule="auto"/>
        <w:jc w:val="both"/>
        <w:rPr>
          <w:rFonts w:ascii="Times New Roman" w:eastAsia="Calibri" w:hAnsi="Times New Roman"/>
          <w:kern w:val="3"/>
          <w:lang w:eastAsia="en-US"/>
        </w:rPr>
      </w:pPr>
    </w:p>
    <w:p w14:paraId="78D80A90" w14:textId="77777777" w:rsidR="00EF4B1F" w:rsidRDefault="00EF4B1F" w:rsidP="00EF4B1F">
      <w:pPr>
        <w:suppressAutoHyphens/>
        <w:autoSpaceDN w:val="0"/>
        <w:spacing w:after="160" w:line="240" w:lineRule="auto"/>
        <w:jc w:val="both"/>
        <w:rPr>
          <w:rFonts w:ascii="Times New Roman" w:eastAsia="Calibri" w:hAnsi="Times New Roman"/>
          <w:kern w:val="3"/>
          <w:lang w:eastAsia="en-US"/>
        </w:rPr>
      </w:pPr>
    </w:p>
    <w:p w14:paraId="6E90845F" w14:textId="77777777" w:rsidR="00EF4B1F" w:rsidRDefault="00EF4B1F" w:rsidP="00EF4B1F">
      <w:pPr>
        <w:suppressAutoHyphens/>
        <w:autoSpaceDN w:val="0"/>
        <w:spacing w:after="160" w:line="240" w:lineRule="auto"/>
        <w:jc w:val="both"/>
        <w:rPr>
          <w:rFonts w:ascii="Times New Roman" w:eastAsia="Calibri" w:hAnsi="Times New Roman"/>
          <w:kern w:val="3"/>
          <w:lang w:eastAsia="en-US"/>
        </w:rPr>
      </w:pPr>
    </w:p>
    <w:p w14:paraId="6575EE5D" w14:textId="77777777" w:rsidR="00FC2896" w:rsidRDefault="00FC2896" w:rsidP="00EF4B1F">
      <w:pPr>
        <w:suppressAutoHyphens/>
        <w:autoSpaceDN w:val="0"/>
        <w:spacing w:after="160" w:line="240" w:lineRule="auto"/>
        <w:jc w:val="both"/>
        <w:rPr>
          <w:rFonts w:ascii="Times New Roman" w:eastAsia="Calibri" w:hAnsi="Times New Roman"/>
          <w:kern w:val="3"/>
          <w:lang w:eastAsia="en-US"/>
        </w:rPr>
      </w:pPr>
    </w:p>
    <w:p w14:paraId="6B51CAF2" w14:textId="77777777" w:rsidR="00FC2896" w:rsidRDefault="00FC2896" w:rsidP="00EF4B1F">
      <w:pPr>
        <w:widowControl w:val="0"/>
        <w:tabs>
          <w:tab w:val="center" w:pos="7699"/>
        </w:tabs>
        <w:autoSpaceDE w:val="0"/>
        <w:autoSpaceDN w:val="0"/>
        <w:adjustRightInd w:val="0"/>
        <w:spacing w:after="0" w:line="240" w:lineRule="auto"/>
        <w:jc w:val="both"/>
        <w:rPr>
          <w:rFonts w:ascii="Times New Roman" w:eastAsia="Calibri" w:hAnsi="Times New Roman"/>
          <w:kern w:val="3"/>
          <w:lang w:eastAsia="en-US"/>
        </w:rPr>
      </w:pPr>
    </w:p>
    <w:p w14:paraId="0CF348B2" w14:textId="7178B7ED" w:rsidR="00FC2896" w:rsidRPr="00935AE9" w:rsidRDefault="00FC2896" w:rsidP="00935AE9">
      <w:pPr>
        <w:pStyle w:val="Odlomakpopisa"/>
        <w:widowControl w:val="0"/>
        <w:numPr>
          <w:ilvl w:val="0"/>
          <w:numId w:val="11"/>
        </w:numPr>
        <w:tabs>
          <w:tab w:val="center" w:pos="7699"/>
        </w:tabs>
        <w:autoSpaceDE w:val="0"/>
        <w:autoSpaceDN w:val="0"/>
        <w:adjustRightInd w:val="0"/>
        <w:spacing w:after="0" w:line="240" w:lineRule="auto"/>
        <w:jc w:val="both"/>
        <w:rPr>
          <w:rFonts w:ascii="Times New Roman" w:hAnsi="Times New Roman"/>
          <w:b/>
          <w:color w:val="000000"/>
        </w:rPr>
      </w:pPr>
      <w:r w:rsidRPr="00935AE9">
        <w:rPr>
          <w:rFonts w:ascii="Times New Roman" w:hAnsi="Times New Roman"/>
          <w:b/>
          <w:color w:val="000000"/>
        </w:rPr>
        <w:lastRenderedPageBreak/>
        <w:t>OBRAZLOŽENJE GODIŠNJEG IZVJEŠTAJA O IZVRŠENJU PRORAČUNA</w:t>
      </w:r>
    </w:p>
    <w:p w14:paraId="2F0200AC" w14:textId="77777777" w:rsidR="00FC2896" w:rsidRPr="00EF4B1F" w:rsidRDefault="00FC2896" w:rsidP="00EF4B1F">
      <w:pPr>
        <w:widowControl w:val="0"/>
        <w:tabs>
          <w:tab w:val="center" w:pos="7699"/>
        </w:tabs>
        <w:autoSpaceDE w:val="0"/>
        <w:autoSpaceDN w:val="0"/>
        <w:adjustRightInd w:val="0"/>
        <w:spacing w:after="0" w:line="240" w:lineRule="auto"/>
        <w:jc w:val="both"/>
        <w:rPr>
          <w:rFonts w:ascii="Times New Roman" w:hAnsi="Times New Roman"/>
          <w:b/>
          <w:color w:val="000000"/>
        </w:rPr>
      </w:pPr>
    </w:p>
    <w:p w14:paraId="26373271" w14:textId="7EBBC5E0" w:rsidR="00FC2896" w:rsidRPr="00EF4B1F" w:rsidRDefault="00BD2744" w:rsidP="00EF4B1F">
      <w:pPr>
        <w:widowControl w:val="0"/>
        <w:tabs>
          <w:tab w:val="center" w:pos="7699"/>
        </w:tabs>
        <w:autoSpaceDE w:val="0"/>
        <w:autoSpaceDN w:val="0"/>
        <w:adjustRightInd w:val="0"/>
        <w:spacing w:after="0" w:line="240" w:lineRule="auto"/>
        <w:jc w:val="both"/>
        <w:rPr>
          <w:rFonts w:ascii="Times New Roman" w:hAnsi="Times New Roman"/>
          <w:b/>
          <w:color w:val="000000"/>
        </w:rPr>
      </w:pPr>
      <w:r w:rsidRPr="00EF4B1F">
        <w:rPr>
          <w:rFonts w:ascii="Times New Roman" w:hAnsi="Times New Roman"/>
          <w:b/>
          <w:color w:val="000000"/>
        </w:rPr>
        <w:t xml:space="preserve">2.1. </w:t>
      </w:r>
      <w:r w:rsidR="00FC2896" w:rsidRPr="00EF4B1F">
        <w:rPr>
          <w:rFonts w:ascii="Times New Roman" w:hAnsi="Times New Roman"/>
          <w:b/>
          <w:color w:val="000000"/>
        </w:rPr>
        <w:t>OBRAZLOŽENJE OPĆEG DIJELA IZVJEŠTAJA O IZVRŠENJU PRORAČUNA</w:t>
      </w:r>
    </w:p>
    <w:p w14:paraId="1C43F2F5" w14:textId="77777777" w:rsidR="00FC2896" w:rsidRDefault="00FC2896" w:rsidP="00EF4B1F">
      <w:pPr>
        <w:widowControl w:val="0"/>
        <w:tabs>
          <w:tab w:val="center" w:pos="7699"/>
        </w:tabs>
        <w:autoSpaceDE w:val="0"/>
        <w:autoSpaceDN w:val="0"/>
        <w:adjustRightInd w:val="0"/>
        <w:spacing w:after="0" w:line="240" w:lineRule="auto"/>
        <w:jc w:val="both"/>
        <w:rPr>
          <w:rFonts w:ascii="Times New Roman" w:hAnsi="Times New Roman"/>
          <w:bCs/>
          <w:color w:val="000000"/>
        </w:rPr>
      </w:pPr>
    </w:p>
    <w:p w14:paraId="1BEBCC85" w14:textId="77777777" w:rsidR="00FC2896" w:rsidRPr="00FC2896" w:rsidRDefault="00FC2896" w:rsidP="00EF4B1F">
      <w:pPr>
        <w:suppressAutoHyphens/>
        <w:autoSpaceDN w:val="0"/>
        <w:spacing w:after="160" w:line="240" w:lineRule="auto"/>
        <w:jc w:val="both"/>
        <w:rPr>
          <w:rFonts w:ascii="Times New Roman" w:eastAsia="Calibri" w:hAnsi="Times New Roman"/>
          <w:color w:val="FF0000"/>
          <w:kern w:val="3"/>
          <w:lang w:eastAsia="en-US"/>
        </w:rPr>
      </w:pPr>
      <w:r w:rsidRPr="00FC2896">
        <w:rPr>
          <w:rFonts w:ascii="Times New Roman" w:eastAsia="Calibri" w:hAnsi="Times New Roman"/>
          <w:kern w:val="3"/>
          <w:lang w:eastAsia="en-US"/>
        </w:rPr>
        <w:t>III. Izmjene plana proračuna Općine Cerna usvojene su na 20. sjednici Općinskog vijeća Općine Cerna održanoj dana 24. listopada 2023. godine.</w:t>
      </w:r>
    </w:p>
    <w:p w14:paraId="4011D0E6" w14:textId="77777777" w:rsidR="00FC2896" w:rsidRPr="00FC2896"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FC2896">
        <w:rPr>
          <w:rFonts w:ascii="Times New Roman" w:eastAsia="Calibri" w:hAnsi="Times New Roman"/>
          <w:kern w:val="3"/>
          <w:lang w:eastAsia="en-US"/>
        </w:rPr>
        <w:t xml:space="preserve">Ostvarenje tekućih prihoda poslovanja i prihoda od prodaje nefinancijske imovine iznosi </w:t>
      </w:r>
      <w:r w:rsidRPr="00FC2896">
        <w:rPr>
          <w:rFonts w:ascii="Times New Roman" w:eastAsia="Calibri" w:hAnsi="Times New Roman"/>
          <w:bCs/>
          <w:color w:val="000000"/>
          <w:kern w:val="3"/>
          <w:lang w:eastAsia="en-US"/>
        </w:rPr>
        <w:t>3.814.137,27 EUR</w:t>
      </w:r>
      <w:r w:rsidRPr="00FC2896">
        <w:rPr>
          <w:rFonts w:ascii="Times New Roman" w:eastAsia="Calibri" w:hAnsi="Times New Roman"/>
          <w:kern w:val="3"/>
          <w:lang w:eastAsia="en-US"/>
        </w:rPr>
        <w:t xml:space="preserve">, a realizacija tekućih rashoda i rashoda za nabavu nefinancijske imovine iznose </w:t>
      </w:r>
      <w:r w:rsidRPr="00FC2896">
        <w:rPr>
          <w:rFonts w:ascii="Times New Roman" w:eastAsia="Calibri" w:hAnsi="Times New Roman"/>
          <w:bCs/>
          <w:color w:val="000000"/>
          <w:kern w:val="3"/>
          <w:lang w:eastAsia="en-US"/>
        </w:rPr>
        <w:t>4.267.158,64 EUR</w:t>
      </w:r>
      <w:r w:rsidRPr="00FC2896">
        <w:rPr>
          <w:rFonts w:ascii="Times New Roman" w:eastAsia="Calibri" w:hAnsi="Times New Roman"/>
          <w:kern w:val="3"/>
          <w:lang w:eastAsia="en-US"/>
        </w:rPr>
        <w:t xml:space="preserve"> što rezultira manjkom prihoda u iznosu od 453.021,37 EUR.</w:t>
      </w:r>
    </w:p>
    <w:p w14:paraId="0687E572" w14:textId="77777777" w:rsidR="00FC2896" w:rsidRPr="00FC2896" w:rsidRDefault="00FC2896" w:rsidP="00EF4B1F">
      <w:pPr>
        <w:suppressAutoHyphens/>
        <w:autoSpaceDN w:val="0"/>
        <w:spacing w:after="0" w:line="240" w:lineRule="auto"/>
        <w:ind w:left="720"/>
        <w:contextualSpacing/>
        <w:jc w:val="both"/>
        <w:rPr>
          <w:rFonts w:ascii="Times New Roman" w:eastAsia="Calibri" w:hAnsi="Times New Roman"/>
          <w:kern w:val="3"/>
          <w:lang w:eastAsia="en-US"/>
        </w:rPr>
      </w:pPr>
    </w:p>
    <w:p w14:paraId="2679EA62" w14:textId="77777777" w:rsidR="00FC2896" w:rsidRPr="00FC2896"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FC2896">
        <w:rPr>
          <w:rFonts w:ascii="Times New Roman" w:eastAsia="Calibri" w:hAnsi="Times New Roman"/>
          <w:kern w:val="3"/>
          <w:lang w:eastAsia="en-US"/>
        </w:rPr>
        <w:t xml:space="preserve">U izvještajnom razdoblju izdaci za financijsku imovinu, odnosno otplatu kredita iznosili su 48.161,79 EUR. Primitci po osnovi financijske imovine i zaduživanja u navedenom razdoblju iznosili su 457.165,91 EUR, što u konačnici rezultira viškom računa financiranja u iznosu od 409.004,12 EUR. </w:t>
      </w:r>
    </w:p>
    <w:p w14:paraId="2E216C46" w14:textId="77777777" w:rsidR="00FC2896" w:rsidRPr="00FC2896" w:rsidRDefault="00FC2896" w:rsidP="00EF4B1F">
      <w:pPr>
        <w:suppressAutoHyphens/>
        <w:autoSpaceDN w:val="0"/>
        <w:spacing w:after="0" w:line="240" w:lineRule="auto"/>
        <w:jc w:val="both"/>
        <w:rPr>
          <w:rFonts w:ascii="Times New Roman" w:eastAsia="Calibri" w:hAnsi="Times New Roman"/>
          <w:kern w:val="3"/>
          <w:lang w:eastAsia="en-US"/>
        </w:rPr>
      </w:pPr>
    </w:p>
    <w:p w14:paraId="53437585" w14:textId="3B2B921B" w:rsidR="00FC2896"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FC2896">
        <w:rPr>
          <w:rFonts w:ascii="Times New Roman" w:eastAsia="Calibri" w:hAnsi="Times New Roman"/>
          <w:kern w:val="3"/>
          <w:lang w:eastAsia="en-US"/>
        </w:rPr>
        <w:t xml:space="preserve">Raspoloživa sredstva iz prethodnih godina iznose </w:t>
      </w:r>
      <w:r w:rsidRPr="00FC2896">
        <w:rPr>
          <w:rFonts w:ascii="Times New Roman" w:eastAsia="Calibri" w:hAnsi="Times New Roman"/>
          <w:bCs/>
          <w:kern w:val="3"/>
          <w:lang w:eastAsia="en-US"/>
        </w:rPr>
        <w:t>141.837,07 EUR</w:t>
      </w:r>
      <w:r w:rsidRPr="00FC2896">
        <w:rPr>
          <w:rFonts w:ascii="Times New Roman" w:eastAsia="Calibri" w:hAnsi="Times New Roman"/>
          <w:kern w:val="3"/>
          <w:lang w:eastAsia="en-US"/>
        </w:rPr>
        <w:t xml:space="preserve"> (višak prihoda i primitaka na dan 31. prosinca 2022. godine) </w:t>
      </w:r>
      <w:r>
        <w:rPr>
          <w:rFonts w:ascii="Times New Roman" w:eastAsia="Calibri" w:hAnsi="Times New Roman"/>
          <w:kern w:val="3"/>
          <w:lang w:eastAsia="en-US"/>
        </w:rPr>
        <w:t xml:space="preserve">dok </w:t>
      </w:r>
      <w:r w:rsidRPr="00FC2896">
        <w:rPr>
          <w:rFonts w:ascii="Times New Roman" w:eastAsia="Calibri" w:hAnsi="Times New Roman"/>
          <w:kern w:val="3"/>
          <w:lang w:eastAsia="en-US"/>
        </w:rPr>
        <w:t>višak na dan 31. prosinca 2023. godine</w:t>
      </w:r>
      <w:r>
        <w:rPr>
          <w:rFonts w:ascii="Times New Roman" w:eastAsia="Calibri" w:hAnsi="Times New Roman"/>
          <w:kern w:val="3"/>
          <w:lang w:eastAsia="en-US"/>
        </w:rPr>
        <w:t xml:space="preserve"> </w:t>
      </w:r>
      <w:r w:rsidRPr="00FC2896">
        <w:rPr>
          <w:rFonts w:ascii="Times New Roman" w:eastAsia="Calibri" w:hAnsi="Times New Roman"/>
          <w:kern w:val="3"/>
          <w:lang w:eastAsia="en-US"/>
        </w:rPr>
        <w:t>iznos</w:t>
      </w:r>
      <w:r>
        <w:rPr>
          <w:rFonts w:ascii="Times New Roman" w:eastAsia="Calibri" w:hAnsi="Times New Roman"/>
          <w:kern w:val="3"/>
          <w:lang w:eastAsia="en-US"/>
        </w:rPr>
        <w:t>i</w:t>
      </w:r>
      <w:r w:rsidRPr="00FC2896">
        <w:rPr>
          <w:rFonts w:ascii="Times New Roman" w:eastAsia="Calibri" w:hAnsi="Times New Roman"/>
          <w:kern w:val="3"/>
          <w:lang w:eastAsia="en-US"/>
        </w:rPr>
        <w:t xml:space="preserve"> 97.819,74 EUR</w:t>
      </w:r>
      <w:r>
        <w:rPr>
          <w:rFonts w:ascii="Times New Roman" w:eastAsia="Calibri" w:hAnsi="Times New Roman"/>
          <w:kern w:val="3"/>
          <w:lang w:eastAsia="en-US"/>
        </w:rPr>
        <w:t>.</w:t>
      </w:r>
    </w:p>
    <w:p w14:paraId="54429543" w14:textId="281E015E" w:rsidR="00BD2744" w:rsidRDefault="00BD2744" w:rsidP="00EF4B1F">
      <w:pPr>
        <w:suppressAutoHyphens/>
        <w:autoSpaceDN w:val="0"/>
        <w:spacing w:after="0" w:line="240" w:lineRule="auto"/>
        <w:contextualSpacing/>
        <w:jc w:val="both"/>
        <w:rPr>
          <w:rFonts w:ascii="Times New Roman" w:eastAsia="Calibri" w:hAnsi="Times New Roman"/>
          <w:kern w:val="3"/>
          <w:lang w:eastAsia="en-US"/>
        </w:rPr>
      </w:pPr>
    </w:p>
    <w:p w14:paraId="78792091" w14:textId="77777777" w:rsidR="00BD2744" w:rsidRDefault="00BD2744" w:rsidP="00EF4B1F">
      <w:pPr>
        <w:suppressAutoHyphens/>
        <w:autoSpaceDN w:val="0"/>
        <w:spacing w:after="0" w:line="240" w:lineRule="auto"/>
        <w:contextualSpacing/>
        <w:jc w:val="both"/>
        <w:rPr>
          <w:rFonts w:ascii="Times New Roman" w:eastAsia="Calibri" w:hAnsi="Times New Roman"/>
          <w:kern w:val="3"/>
          <w:lang w:eastAsia="en-US"/>
        </w:rPr>
      </w:pPr>
    </w:p>
    <w:p w14:paraId="55A51B67" w14:textId="71C180AE" w:rsidR="00BD2744" w:rsidRPr="00EF4B1F" w:rsidRDefault="00BD2744" w:rsidP="00EF4B1F">
      <w:pPr>
        <w:suppressAutoHyphens/>
        <w:autoSpaceDN w:val="0"/>
        <w:spacing w:after="0" w:line="240" w:lineRule="auto"/>
        <w:contextualSpacing/>
        <w:jc w:val="both"/>
        <w:rPr>
          <w:rFonts w:ascii="Times New Roman" w:eastAsia="Calibri" w:hAnsi="Times New Roman"/>
          <w:b/>
          <w:bCs/>
          <w:kern w:val="3"/>
          <w:lang w:eastAsia="en-US"/>
        </w:rPr>
      </w:pPr>
      <w:r w:rsidRPr="00EF4B1F">
        <w:rPr>
          <w:rFonts w:ascii="Times New Roman" w:eastAsia="Calibri" w:hAnsi="Times New Roman"/>
          <w:b/>
          <w:bCs/>
          <w:kern w:val="3"/>
          <w:lang w:eastAsia="en-US"/>
        </w:rPr>
        <w:t>2.1.1. Obrazloženje ostvarenja prihoda i primitaka</w:t>
      </w:r>
    </w:p>
    <w:p w14:paraId="6F8E7246" w14:textId="77777777" w:rsidR="00BD2744" w:rsidRDefault="00BD2744" w:rsidP="00EF4B1F">
      <w:pPr>
        <w:suppressAutoHyphens/>
        <w:autoSpaceDN w:val="0"/>
        <w:spacing w:after="0" w:line="240" w:lineRule="auto"/>
        <w:contextualSpacing/>
        <w:jc w:val="both"/>
        <w:rPr>
          <w:rFonts w:ascii="Times New Roman" w:eastAsia="Calibri" w:hAnsi="Times New Roman"/>
          <w:kern w:val="3"/>
          <w:lang w:eastAsia="en-US"/>
        </w:rPr>
      </w:pPr>
    </w:p>
    <w:p w14:paraId="63B6B4A7"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U razdoblju od 1. siječnja  do 31. prosinca 2023. godine Općina Cerna ostvarila je ukupno prihoda poslovanja 3.812.540,37 € i prihoda od prodaje nefinancijske imovine u iznosu 1.596,90 €.</w:t>
      </w:r>
    </w:p>
    <w:p w14:paraId="733D63F9"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U grafičkom prikazu broj 1. daje se pregled planiranih i ostvarenih prihoda i primitaka Proračuna Općine u 2023. godini s usporednim prikazom realizacije za isti period 2022. godine.</w:t>
      </w:r>
    </w:p>
    <w:p w14:paraId="159EFD1D" w14:textId="77777777" w:rsidR="00BD2744" w:rsidRDefault="00BD2744" w:rsidP="00EF4B1F">
      <w:pPr>
        <w:suppressAutoHyphens/>
        <w:autoSpaceDN w:val="0"/>
        <w:spacing w:after="0"/>
        <w:contextualSpacing/>
        <w:jc w:val="both"/>
        <w:rPr>
          <w:rFonts w:ascii="Times New Roman" w:eastAsia="Calibri" w:hAnsi="Times New Roman"/>
          <w:kern w:val="3"/>
          <w:lang w:eastAsia="en-US"/>
        </w:rPr>
      </w:pPr>
    </w:p>
    <w:p w14:paraId="12E1CE3D" w14:textId="1EE9A72F" w:rsidR="00BD2744" w:rsidRDefault="00BD2744" w:rsidP="00BD2744">
      <w:pPr>
        <w:suppressAutoHyphens/>
        <w:autoSpaceDN w:val="0"/>
        <w:spacing w:after="0" w:line="240" w:lineRule="auto"/>
        <w:contextualSpacing/>
        <w:jc w:val="both"/>
        <w:rPr>
          <w:rFonts w:ascii="Times New Roman" w:eastAsia="Calibri" w:hAnsi="Times New Roman"/>
          <w:kern w:val="3"/>
          <w:lang w:eastAsia="en-US"/>
        </w:rPr>
      </w:pPr>
      <w:r>
        <w:rPr>
          <w:rFonts w:ascii="Times New Roman" w:hAnsi="Times New Roman"/>
          <w:noProof/>
          <w14:ligatures w14:val="standardContextual"/>
        </w:rPr>
        <w:lastRenderedPageBreak/>
        <w:drawing>
          <wp:anchor distT="0" distB="0" distL="114300" distR="114300" simplePos="0" relativeHeight="251659264" behindDoc="0" locked="0" layoutInCell="1" allowOverlap="1" wp14:anchorId="04BF79BD" wp14:editId="40ADFBF6">
            <wp:simplePos x="0" y="0"/>
            <wp:positionH relativeFrom="margin">
              <wp:posOffset>-690245</wp:posOffset>
            </wp:positionH>
            <wp:positionV relativeFrom="paragraph">
              <wp:posOffset>161925</wp:posOffset>
            </wp:positionV>
            <wp:extent cx="7553325" cy="3990975"/>
            <wp:effectExtent l="0" t="0" r="9525" b="9525"/>
            <wp:wrapThrough wrapText="bothSides">
              <wp:wrapPolygon edited="0">
                <wp:start x="0" y="0"/>
                <wp:lineTo x="0" y="21548"/>
                <wp:lineTo x="21573" y="21548"/>
                <wp:lineTo x="21573" y="0"/>
                <wp:lineTo x="0" y="0"/>
              </wp:wrapPolygon>
            </wp:wrapThrough>
            <wp:docPr id="236278746"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08EAB7B9" w14:textId="77777777" w:rsidR="00FC2896" w:rsidRDefault="00FC2896" w:rsidP="00FC2896">
      <w:pPr>
        <w:widowControl w:val="0"/>
        <w:tabs>
          <w:tab w:val="center" w:pos="7699"/>
        </w:tabs>
        <w:autoSpaceDE w:val="0"/>
        <w:autoSpaceDN w:val="0"/>
        <w:adjustRightInd w:val="0"/>
        <w:spacing w:after="0" w:line="240" w:lineRule="auto"/>
        <w:rPr>
          <w:rFonts w:ascii="Times New Roman" w:eastAsia="Calibri" w:hAnsi="Times New Roman"/>
          <w:kern w:val="3"/>
          <w:lang w:eastAsia="en-US"/>
        </w:rPr>
      </w:pPr>
    </w:p>
    <w:p w14:paraId="3C0531DD"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Prihodi od poreza (61)</w:t>
      </w:r>
      <w:r w:rsidRPr="00BD2744">
        <w:rPr>
          <w:rFonts w:ascii="Times New Roman" w:eastAsia="Calibri" w:hAnsi="Times New Roman"/>
          <w:kern w:val="3"/>
          <w:lang w:eastAsia="en-US"/>
        </w:rPr>
        <w:t xml:space="preserve"> obuhvaćaju porez na dohodak od nesamostalnog rada, porez na dohodak od samostalnih djelatnosti, porez na dohodak od imovine, udjela u dobiti i sl. Osim gore navedenih poreza u tu skupinu proračunskih prihoda spadaju i porez na nekretnine, porez na potrošnju alkohola i bezalkoholnih pića, porezi na kuće te porez na tvrtku odnosno naziv.</w:t>
      </w:r>
    </w:p>
    <w:p w14:paraId="2E56CB6B" w14:textId="77777777" w:rsidR="00BD2744" w:rsidRPr="00BD2744" w:rsidRDefault="00BD2744" w:rsidP="00EF4B1F">
      <w:pPr>
        <w:spacing w:after="0" w:line="240" w:lineRule="auto"/>
        <w:jc w:val="both"/>
        <w:rPr>
          <w:rFonts w:ascii="Times New Roman" w:eastAsiaTheme="minorEastAsia" w:hAnsi="Times New Roman"/>
          <w:lang w:eastAsia="en-US"/>
        </w:rPr>
      </w:pPr>
      <w:r w:rsidRPr="00BD2744">
        <w:rPr>
          <w:rFonts w:ascii="Times New Roman" w:eastAsiaTheme="minorEastAsia" w:hAnsi="Times New Roman"/>
          <w:lang w:eastAsia="en-US"/>
        </w:rPr>
        <w:t>U nastavku daje se grafički prikaz realizacije prihoda od poreza u razdoblju od 01. siječnja do 31. prosinca 2023. godine u odnosu na prethodnu 2022. godinu.</w:t>
      </w:r>
    </w:p>
    <w:p w14:paraId="52C6A36F"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p>
    <w:p w14:paraId="67640345" w14:textId="3E731604" w:rsidR="00BD2744" w:rsidRPr="00EF4B1F" w:rsidRDefault="00BD2744" w:rsidP="00EF4B1F">
      <w:pPr>
        <w:widowControl w:val="0"/>
        <w:tabs>
          <w:tab w:val="center" w:pos="7699"/>
        </w:tabs>
        <w:autoSpaceDE w:val="0"/>
        <w:autoSpaceDN w:val="0"/>
        <w:adjustRightInd w:val="0"/>
        <w:spacing w:after="0" w:line="240" w:lineRule="auto"/>
        <w:jc w:val="both"/>
        <w:rPr>
          <w:rFonts w:ascii="Times New Roman" w:hAnsi="Times New Roman"/>
          <w:bCs/>
          <w:color w:val="000000"/>
        </w:rPr>
      </w:pPr>
      <w:r w:rsidRPr="00EF4B1F">
        <w:rPr>
          <w:rFonts w:ascii="Times New Roman" w:hAnsi="Times New Roman"/>
          <w:noProof/>
          <w14:ligatures w14:val="standardContextual"/>
        </w:rPr>
        <w:lastRenderedPageBreak/>
        <w:drawing>
          <wp:inline distT="0" distB="0" distL="0" distR="0" wp14:anchorId="60207D5B" wp14:editId="56A3EC2C">
            <wp:extent cx="5972810" cy="4142882"/>
            <wp:effectExtent l="0" t="0" r="8890" b="10160"/>
            <wp:docPr id="131059475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EA2F92C" w14:textId="77777777" w:rsidR="00FC2896" w:rsidRPr="00EF4B1F" w:rsidRDefault="00FC2896" w:rsidP="00EF4B1F">
      <w:pPr>
        <w:spacing w:after="0" w:line="240" w:lineRule="auto"/>
        <w:jc w:val="both"/>
        <w:rPr>
          <w:rFonts w:ascii="Times New Roman" w:eastAsia="Calibri" w:hAnsi="Times New Roman"/>
        </w:rPr>
      </w:pPr>
    </w:p>
    <w:p w14:paraId="6FB3C895"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Pomoći iz inozemstva i od subjekata unutar općeg proračuna (63)</w:t>
      </w:r>
      <w:r w:rsidRPr="00BD2744">
        <w:rPr>
          <w:rFonts w:ascii="Times New Roman" w:eastAsia="Calibri" w:hAnsi="Times New Roman"/>
          <w:kern w:val="3"/>
          <w:lang w:eastAsia="en-US"/>
        </w:rPr>
        <w:t xml:space="preserve"> spadaju tekuće i kapitalne pomoći općinskih, županijskih i državnih proračuna. U 2023. godini te su pomoći ostvarene u iznosu od 2.427.486,02 €. </w:t>
      </w:r>
    </w:p>
    <w:p w14:paraId="5F22F9A2"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Iz državnih proračuna uprihodovano je 1.458.920,26 €. Navedeni iznos uključuje tekuće i kapitalne pomoći, a odnosi se na sljedeće stavke:</w:t>
      </w:r>
    </w:p>
    <w:p w14:paraId="5BCF9F48"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Fiskalno izravnanje 650.828,00 €</w:t>
      </w:r>
    </w:p>
    <w:p w14:paraId="471E686B"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Za razvoj predškolske djelatnosti 29.040,00 €</w:t>
      </w:r>
    </w:p>
    <w:p w14:paraId="7498B3D9"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Za sanaciju dijela ceste u ulici M. Tišljara 33.400,00 €</w:t>
      </w:r>
    </w:p>
    <w:p w14:paraId="21388A03"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Pomoć za ogrjev 3.260,51 €</w:t>
      </w:r>
    </w:p>
    <w:p w14:paraId="11136A70"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Refundacija za Zakup poljoprivrednog zemljišta u vlasništvu RH 11.697,15 €</w:t>
      </w:r>
    </w:p>
    <w:p w14:paraId="30E6F9E5"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Fiskalna održivost dječjeg vrtića 22.203,00 €</w:t>
      </w:r>
    </w:p>
    <w:p w14:paraId="280D8A4E"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 xml:space="preserve">Fond za zaštitu okoliša i energetsku učinkovitost za sufinanciranje vozila 9.290,60 € </w:t>
      </w:r>
    </w:p>
    <w:p w14:paraId="2A7F8A16"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Ministarstvo regionalnog razvoja  i fondova Europske unije za sanaciju kolnika u ulici Mala Cerna 426.841,97 €</w:t>
      </w:r>
    </w:p>
    <w:p w14:paraId="79E126DC"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Za opremanje čitaonice 6.636,14 €</w:t>
      </w:r>
    </w:p>
    <w:p w14:paraId="4D9CC0F4"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Za rekonstrukciju kolnika u ulici Kralja Zvonimira 40.000,00 €</w:t>
      </w:r>
    </w:p>
    <w:p w14:paraId="11A33460"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Za rekonstrukciju kolnika u ulici Mala Cerna 104.049,26 €</w:t>
      </w:r>
    </w:p>
    <w:p w14:paraId="3D1CF149"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Program Zaželi 97.506,60 €</w:t>
      </w:r>
    </w:p>
    <w:p w14:paraId="1A615005" w14:textId="77777777" w:rsidR="00BD2744" w:rsidRP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Fond za zaštitu okoliša i energetsku učinkovitost 24.167,03 €</w:t>
      </w:r>
    </w:p>
    <w:p w14:paraId="224782C5"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Iz županijskog proračuna uprihodovano je ukupno 586.324,08 €. Navedeni iznos se odnosi na:</w:t>
      </w:r>
    </w:p>
    <w:p w14:paraId="2C7086D3" w14:textId="77777777" w:rsidR="00BD2744" w:rsidRPr="00BD2744"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Elementarna nepogoda 576.324,08 €</w:t>
      </w:r>
    </w:p>
    <w:p w14:paraId="73F11C86" w14:textId="77777777" w:rsidR="00BD2744" w:rsidRPr="00BD2744"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lastRenderedPageBreak/>
        <w:t>Izgradnja prometnice i parkirališta u Vukovarskoj ulici 10.000,00 €</w:t>
      </w:r>
    </w:p>
    <w:p w14:paraId="03E032A6" w14:textId="77777777" w:rsidR="00BD2744" w:rsidRPr="00BD2744" w:rsidRDefault="00BD2744" w:rsidP="00EF4B1F">
      <w:pPr>
        <w:suppressAutoHyphens/>
        <w:autoSpaceDN w:val="0"/>
        <w:spacing w:after="160" w:line="240" w:lineRule="auto"/>
        <w:ind w:left="720"/>
        <w:contextualSpacing/>
        <w:jc w:val="both"/>
        <w:rPr>
          <w:rFonts w:ascii="Times New Roman" w:eastAsia="Calibri" w:hAnsi="Times New Roman"/>
          <w:kern w:val="3"/>
          <w:lang w:eastAsia="en-US"/>
        </w:rPr>
      </w:pPr>
    </w:p>
    <w:p w14:paraId="29C40FBB"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 xml:space="preserve">Pomoći iz državnog proračuna temeljem prijenosa EU sredstava iznosi 382.241,68 €, a odnose se na izgradnju dječjeg vrtića. </w:t>
      </w:r>
    </w:p>
    <w:p w14:paraId="619C31A7"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p>
    <w:p w14:paraId="4029C0C4"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Prihodi od imovine (64</w:t>
      </w:r>
      <w:r w:rsidRPr="00BD2744">
        <w:rPr>
          <w:rFonts w:ascii="Times New Roman" w:eastAsia="Calibri" w:hAnsi="Times New Roman"/>
          <w:i/>
          <w:iCs/>
          <w:kern w:val="3"/>
          <w:lang w:eastAsia="en-US"/>
        </w:rPr>
        <w:t>)</w:t>
      </w:r>
      <w:r w:rsidRPr="00BD2744">
        <w:rPr>
          <w:rFonts w:ascii="Times New Roman" w:eastAsia="Calibri" w:hAnsi="Times New Roman"/>
          <w:kern w:val="3"/>
          <w:lang w:eastAsia="en-US"/>
        </w:rPr>
        <w:t xml:space="preserve"> kao sljedeća podskupina prihoda poslovanja ostvareni su u 2023. godini u iznosu 75.445,20 €. Najveći udio prihoda od imovine sačinjavaju od naknada za korištenje nefinancijske imovine. U tu kategoriju spadaju:</w:t>
      </w:r>
    </w:p>
    <w:p w14:paraId="1CD4E4AA" w14:textId="77777777" w:rsidR="00BD2744" w:rsidRPr="00BD2744"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Prihodi od financijske imovine (kamate na depozite po viđenju, prihodi od pozitivnih tečajnih razlika)</w:t>
      </w:r>
    </w:p>
    <w:p w14:paraId="2E550FD9" w14:textId="77777777" w:rsidR="00BD2744" w:rsidRPr="00BD2744"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Prihodi od nefinancijske imovine (naknade za koncesije, prihod od zakupa poljoprivrednog zemljišta, ostali prihodi od zakupa, spomenička renta, ostale naknade za korištenje nefinancijske imovine, ostali prihodi od nefinancijske imovine)</w:t>
      </w:r>
    </w:p>
    <w:p w14:paraId="104DB341" w14:textId="77777777" w:rsidR="00BD2744" w:rsidRPr="00EF4B1F"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Sljedeći grafički prikaz pokazuje realizaciju najznačajnijih prihoda od imovine u razdoblju od 01. siječnja do 31. prosinca 2023. godine u odnosu na prethodnu 2022. godinu.</w:t>
      </w:r>
    </w:p>
    <w:p w14:paraId="7C519B83"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p>
    <w:p w14:paraId="1440C02D" w14:textId="4C6AF4CF" w:rsidR="00FC2896" w:rsidRPr="00EF4B1F" w:rsidRDefault="00BD2744" w:rsidP="00EF4B1F">
      <w:pPr>
        <w:spacing w:line="240" w:lineRule="auto"/>
        <w:jc w:val="both"/>
        <w:rPr>
          <w:rFonts w:ascii="Times New Roman" w:hAnsi="Times New Roman"/>
          <w:b/>
          <w:bCs/>
        </w:rPr>
      </w:pPr>
      <w:r w:rsidRPr="00EF4B1F">
        <w:rPr>
          <w:rFonts w:ascii="Times New Roman" w:hAnsi="Times New Roman"/>
          <w:noProof/>
          <w14:ligatures w14:val="standardContextual"/>
        </w:rPr>
        <w:drawing>
          <wp:inline distT="0" distB="0" distL="0" distR="0" wp14:anchorId="3E3E7AD6" wp14:editId="40FA1DB1">
            <wp:extent cx="5972810" cy="3792689"/>
            <wp:effectExtent l="0" t="0" r="8890" b="17780"/>
            <wp:docPr id="913938226"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6F4F5B"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Prihodi od upravnih i administrativnih pristojbi, pristojbi po posebnim propisima i naknada (65)</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ostvareni su u 2023. godini u iznosu od 368.362,48 €,</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a sadrže:</w:t>
      </w:r>
    </w:p>
    <w:p w14:paraId="4E442F39" w14:textId="77777777" w:rsidR="00BD2744" w:rsidRPr="00BD2744"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Upravne i administrativne pristojbe (gradske i općinske upravne pristojbe i prihod od prodaje državnih biljega) 21.529,21 €</w:t>
      </w:r>
    </w:p>
    <w:p w14:paraId="28D47D64" w14:textId="77777777" w:rsidR="00BD2744" w:rsidRPr="00BD2744"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Prihodi po posebnim propisima ( vodni doprinos, šumski doprinos, ostali prihodi za posebne namjene) 264.800,41 €</w:t>
      </w:r>
    </w:p>
    <w:p w14:paraId="7ADB3D71" w14:textId="77777777" w:rsidR="00BD2744" w:rsidRPr="00EF4B1F"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lastRenderedPageBreak/>
        <w:t>Komunalni doprinosi i naknade 82.032,86 €</w:t>
      </w:r>
    </w:p>
    <w:p w14:paraId="64F3FAF6" w14:textId="77777777" w:rsidR="00EF4B1F" w:rsidRPr="00BD2744" w:rsidRDefault="00EF4B1F" w:rsidP="00EF4B1F">
      <w:pPr>
        <w:suppressAutoHyphens/>
        <w:autoSpaceDN w:val="0"/>
        <w:spacing w:after="160" w:line="240" w:lineRule="auto"/>
        <w:ind w:left="720"/>
        <w:contextualSpacing/>
        <w:jc w:val="both"/>
        <w:rPr>
          <w:rFonts w:ascii="Times New Roman" w:eastAsia="Calibri" w:hAnsi="Times New Roman"/>
          <w:kern w:val="3"/>
          <w:lang w:eastAsia="en-US"/>
        </w:rPr>
      </w:pPr>
    </w:p>
    <w:p w14:paraId="47D10944"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U grafičkom prikazu broj 4 daje se u</w:t>
      </w:r>
      <w:r w:rsidRPr="00BD2744">
        <w:rPr>
          <w:rFonts w:ascii="Times New Roman" w:eastAsia="Calibri" w:hAnsi="Times New Roman"/>
          <w:bCs/>
          <w:kern w:val="3"/>
          <w:lang w:eastAsia="en-US"/>
        </w:rPr>
        <w:t xml:space="preserve">sporedni prikaz realizacije najznačajnijih prihoda od upravnih i administrativnih pristojbi u razdoblju </w:t>
      </w:r>
      <w:r w:rsidRPr="00BD2744">
        <w:rPr>
          <w:rFonts w:ascii="Times New Roman" w:eastAsia="Calibri" w:hAnsi="Times New Roman"/>
          <w:kern w:val="3"/>
          <w:lang w:eastAsia="en-US"/>
        </w:rPr>
        <w:t xml:space="preserve"> </w:t>
      </w:r>
      <w:r w:rsidRPr="00BD2744">
        <w:rPr>
          <w:rFonts w:ascii="Times New Roman" w:eastAsia="Calibri" w:hAnsi="Times New Roman"/>
          <w:bCs/>
          <w:kern w:val="3"/>
          <w:lang w:eastAsia="en-US"/>
        </w:rPr>
        <w:t>od 01. siječnja do 31. prosinca 2023. godine u odnosu na prethodnu 2022. godinu</w:t>
      </w:r>
    </w:p>
    <w:p w14:paraId="324F1823" w14:textId="43CB4C20" w:rsidR="00BD2744" w:rsidRPr="00EF4B1F" w:rsidRDefault="00BD2744" w:rsidP="00EF4B1F">
      <w:pPr>
        <w:spacing w:line="240" w:lineRule="auto"/>
        <w:jc w:val="both"/>
        <w:rPr>
          <w:rFonts w:ascii="Times New Roman" w:hAnsi="Times New Roman"/>
          <w:b/>
          <w:bCs/>
        </w:rPr>
      </w:pPr>
      <w:r w:rsidRPr="00EF4B1F">
        <w:rPr>
          <w:rFonts w:ascii="Times New Roman" w:hAnsi="Times New Roman"/>
          <w:noProof/>
          <w14:ligatures w14:val="standardContextual"/>
        </w:rPr>
        <w:drawing>
          <wp:inline distT="0" distB="0" distL="0" distR="0" wp14:anchorId="69344EE0" wp14:editId="11B53439">
            <wp:extent cx="5972810" cy="3661045"/>
            <wp:effectExtent l="0" t="0" r="8890" b="15875"/>
            <wp:docPr id="557983800"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1AD082"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Prihodi od prodaje proizvoda i roba te pruženih usluga i prihoda od donacija (65)</w:t>
      </w:r>
      <w:r w:rsidRPr="00BD2744">
        <w:rPr>
          <w:rFonts w:ascii="Times New Roman" w:eastAsia="Calibri" w:hAnsi="Times New Roman"/>
          <w:kern w:val="3"/>
          <w:lang w:eastAsia="en-US"/>
        </w:rPr>
        <w:t xml:space="preserve"> u 2023. godini iznose 31.406,62 €, a sačinjavaju: </w:t>
      </w:r>
    </w:p>
    <w:p w14:paraId="70BDB27D" w14:textId="77777777" w:rsidR="00BD2744" w:rsidRPr="00BD2744" w:rsidRDefault="00BD2744" w:rsidP="00EF4B1F">
      <w:pPr>
        <w:numPr>
          <w:ilvl w:val="0"/>
          <w:numId w:val="7"/>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Prihode od prodaje proizvoda i robe te pruženih usluga kojeg čini prihod od hrvatskih voda za obračun naknade za uređenje voda u iznosu 7.281,62 € .</w:t>
      </w:r>
    </w:p>
    <w:p w14:paraId="38754625" w14:textId="77777777" w:rsidR="00BD2744" w:rsidRPr="00BD2744" w:rsidRDefault="00BD2744" w:rsidP="00EF4B1F">
      <w:pPr>
        <w:numPr>
          <w:ilvl w:val="0"/>
          <w:numId w:val="7"/>
        </w:numPr>
        <w:suppressAutoHyphens/>
        <w:autoSpaceDN w:val="0"/>
        <w:spacing w:after="160" w:line="240" w:lineRule="auto"/>
        <w:contextualSpacing/>
        <w:jc w:val="both"/>
        <w:rPr>
          <w:rFonts w:ascii="Times New Roman" w:eastAsia="Calibri" w:hAnsi="Times New Roman"/>
          <w:kern w:val="3"/>
          <w:lang w:eastAsia="en-US"/>
        </w:rPr>
      </w:pPr>
      <w:r w:rsidRPr="00BD2744">
        <w:rPr>
          <w:rFonts w:ascii="Times New Roman" w:eastAsia="Calibri" w:hAnsi="Times New Roman"/>
          <w:kern w:val="3"/>
          <w:lang w:eastAsia="en-US"/>
        </w:rPr>
        <w:t>Donacije od pravnih i fizičkih osoba izvan općeg proračuna koji se odnose na donacije pravnih i fizičkih osoba za pomoć u sanaciji nakon olujnog nevremena u iznosu od 17.085,00 €, te donacije za organizaciju Žetvenih svečanosti u iznosu od 7.040,00 €.</w:t>
      </w:r>
    </w:p>
    <w:p w14:paraId="0610C01A" w14:textId="77777777" w:rsidR="00BD2744" w:rsidRPr="00BD2744" w:rsidRDefault="00BD2744" w:rsidP="00EF4B1F">
      <w:pPr>
        <w:suppressAutoHyphens/>
        <w:autoSpaceDN w:val="0"/>
        <w:spacing w:after="160" w:line="240" w:lineRule="auto"/>
        <w:ind w:left="720"/>
        <w:contextualSpacing/>
        <w:jc w:val="both"/>
        <w:rPr>
          <w:rFonts w:ascii="Times New Roman" w:eastAsia="Calibri" w:hAnsi="Times New Roman"/>
          <w:kern w:val="3"/>
          <w:u w:val="single"/>
          <w:lang w:eastAsia="en-US"/>
        </w:rPr>
      </w:pPr>
    </w:p>
    <w:p w14:paraId="4BA663EF"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Prihodi od prodaje proizvedene dugotrajne imovine (72)</w:t>
      </w:r>
      <w:r w:rsidRPr="00BD2744">
        <w:rPr>
          <w:rFonts w:ascii="Times New Roman" w:eastAsia="Calibri" w:hAnsi="Times New Roman"/>
          <w:kern w:val="3"/>
          <w:lang w:eastAsia="en-US"/>
        </w:rPr>
        <w:t xml:space="preserve"> u 2023. godini realizirani su u iznosu od 1.596,90 €, a odnose se na prihode grada Županje za stanove. </w:t>
      </w:r>
      <w:r w:rsidRPr="00BD2744">
        <w:rPr>
          <w:rFonts w:ascii="Times New Roman" w:eastAsia="Calibri" w:hAnsi="Times New Roman"/>
          <w:kern w:val="3"/>
          <w:lang w:eastAsia="en-US"/>
        </w:rPr>
        <w:br/>
      </w:r>
    </w:p>
    <w:p w14:paraId="4954B465" w14:textId="77777777" w:rsid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Primici od zaduživanja (84)</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 xml:space="preserve">odnose se na primljeni dugoročni kredit u iznosu od 457.165,91 € za rekonstrukciju kolnika u ulici Mala Cerna. </w:t>
      </w:r>
    </w:p>
    <w:p w14:paraId="6B472828" w14:textId="77777777" w:rsidR="00935AE9" w:rsidRDefault="00935AE9" w:rsidP="00EF4B1F">
      <w:pPr>
        <w:suppressAutoHyphens/>
        <w:autoSpaceDN w:val="0"/>
        <w:spacing w:after="160" w:line="240" w:lineRule="auto"/>
        <w:jc w:val="both"/>
        <w:rPr>
          <w:rFonts w:ascii="Times New Roman" w:eastAsia="Calibri" w:hAnsi="Times New Roman"/>
          <w:kern w:val="3"/>
          <w:lang w:eastAsia="en-US"/>
        </w:rPr>
      </w:pPr>
    </w:p>
    <w:p w14:paraId="5EA8265A" w14:textId="77777777" w:rsidR="00935AE9" w:rsidRDefault="00935AE9" w:rsidP="00EF4B1F">
      <w:pPr>
        <w:suppressAutoHyphens/>
        <w:autoSpaceDN w:val="0"/>
        <w:spacing w:after="160" w:line="240" w:lineRule="auto"/>
        <w:jc w:val="both"/>
        <w:rPr>
          <w:rFonts w:ascii="Times New Roman" w:eastAsia="Calibri" w:hAnsi="Times New Roman"/>
          <w:kern w:val="3"/>
          <w:lang w:eastAsia="en-US"/>
        </w:rPr>
      </w:pPr>
    </w:p>
    <w:p w14:paraId="2F16F016" w14:textId="77777777" w:rsidR="00935AE9" w:rsidRDefault="00935AE9" w:rsidP="00EF4B1F">
      <w:pPr>
        <w:suppressAutoHyphens/>
        <w:autoSpaceDN w:val="0"/>
        <w:spacing w:after="160" w:line="240" w:lineRule="auto"/>
        <w:jc w:val="both"/>
        <w:rPr>
          <w:rFonts w:ascii="Times New Roman" w:eastAsia="Calibri" w:hAnsi="Times New Roman"/>
          <w:kern w:val="3"/>
          <w:lang w:eastAsia="en-US"/>
        </w:rPr>
      </w:pPr>
    </w:p>
    <w:p w14:paraId="4B75F82D" w14:textId="77777777" w:rsidR="00935AE9" w:rsidRPr="00BD2744" w:rsidRDefault="00935AE9" w:rsidP="00EF4B1F">
      <w:pPr>
        <w:suppressAutoHyphens/>
        <w:autoSpaceDN w:val="0"/>
        <w:spacing w:after="160" w:line="240" w:lineRule="auto"/>
        <w:jc w:val="both"/>
        <w:rPr>
          <w:rFonts w:ascii="Times New Roman" w:eastAsia="Calibri" w:hAnsi="Times New Roman"/>
          <w:kern w:val="3"/>
          <w:lang w:eastAsia="en-US"/>
        </w:rPr>
      </w:pPr>
    </w:p>
    <w:p w14:paraId="0BDF004A" w14:textId="57AD9F80" w:rsidR="00BD2744" w:rsidRPr="00EF4B1F" w:rsidRDefault="00BD2744" w:rsidP="00EF4B1F">
      <w:pPr>
        <w:spacing w:line="240" w:lineRule="auto"/>
        <w:jc w:val="both"/>
        <w:rPr>
          <w:rFonts w:ascii="Times New Roman" w:hAnsi="Times New Roman"/>
          <w:b/>
          <w:bCs/>
        </w:rPr>
      </w:pPr>
      <w:r w:rsidRPr="00EF4B1F">
        <w:rPr>
          <w:rFonts w:ascii="Times New Roman" w:hAnsi="Times New Roman"/>
          <w:b/>
          <w:bCs/>
        </w:rPr>
        <w:lastRenderedPageBreak/>
        <w:t>2.1.2. Obrazloženje ostvarenja rashoda i izdataka</w:t>
      </w:r>
    </w:p>
    <w:p w14:paraId="7EBEC162" w14:textId="46460558"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 xml:space="preserve">Ukupni planirani rashodi poslovanja i rashodi za nabavu nefinancijske imovine prema Planu Proračuna Općine Cerna za 2023. godinu iznose </w:t>
      </w:r>
      <w:r w:rsidRPr="00EF4B1F">
        <w:rPr>
          <w:rFonts w:ascii="Times New Roman" w:eastAsia="Calibri" w:hAnsi="Times New Roman"/>
          <w:kern w:val="3"/>
          <w:lang w:eastAsia="en-US"/>
        </w:rPr>
        <w:t>4.821.439,60</w:t>
      </w:r>
      <w:r w:rsidRPr="00BD2744">
        <w:rPr>
          <w:rFonts w:ascii="Times New Roman" w:eastAsia="Calibri" w:hAnsi="Times New Roman"/>
          <w:kern w:val="3"/>
          <w:lang w:eastAsia="en-US"/>
        </w:rPr>
        <w:t xml:space="preserve"> €, a sastoje se od rashoda poslovanja skupina 3 u iznosu od 2.</w:t>
      </w:r>
      <w:r w:rsidRPr="00EF4B1F">
        <w:rPr>
          <w:rFonts w:ascii="Times New Roman" w:eastAsia="Calibri" w:hAnsi="Times New Roman"/>
          <w:kern w:val="3"/>
          <w:lang w:eastAsia="en-US"/>
        </w:rPr>
        <w:t>404.800,98</w:t>
      </w:r>
      <w:r w:rsidRPr="00BD2744">
        <w:rPr>
          <w:rFonts w:ascii="Times New Roman" w:eastAsia="Calibri" w:hAnsi="Times New Roman"/>
          <w:kern w:val="3"/>
          <w:lang w:eastAsia="en-US"/>
        </w:rPr>
        <w:t xml:space="preserve"> € i rashoda za nabavu nefinancijske imovine skupine 4 u iznosu 2.</w:t>
      </w:r>
      <w:r w:rsidRPr="00EF4B1F">
        <w:rPr>
          <w:rFonts w:ascii="Times New Roman" w:eastAsia="Calibri" w:hAnsi="Times New Roman"/>
          <w:kern w:val="3"/>
          <w:lang w:eastAsia="en-US"/>
        </w:rPr>
        <w:t>416.638,62</w:t>
      </w:r>
      <w:r w:rsidRPr="00BD2744">
        <w:rPr>
          <w:rFonts w:ascii="Times New Roman" w:eastAsia="Calibri" w:hAnsi="Times New Roman"/>
          <w:kern w:val="3"/>
          <w:lang w:eastAsia="en-US"/>
        </w:rPr>
        <w:t xml:space="preserve"> €. Izdaci za financijsku imovinu i otplatu zajmova u Planu proračuna planirani su u iznosu </w:t>
      </w:r>
      <w:r w:rsidRPr="00EF4B1F">
        <w:rPr>
          <w:rFonts w:ascii="Times New Roman" w:eastAsia="Calibri" w:hAnsi="Times New Roman"/>
          <w:kern w:val="3"/>
          <w:lang w:eastAsia="en-US"/>
        </w:rPr>
        <w:t>66.968,11</w:t>
      </w:r>
      <w:r w:rsidRPr="00BD2744">
        <w:rPr>
          <w:rFonts w:ascii="Times New Roman" w:eastAsia="Calibri" w:hAnsi="Times New Roman"/>
          <w:kern w:val="3"/>
          <w:lang w:eastAsia="en-US"/>
        </w:rPr>
        <w:t xml:space="preserve"> €.</w:t>
      </w:r>
    </w:p>
    <w:p w14:paraId="5ECC8CD3" w14:textId="64D6903E" w:rsidR="00BD2744" w:rsidRPr="00EF4B1F" w:rsidRDefault="00BD2744" w:rsidP="00EF4B1F">
      <w:pPr>
        <w:spacing w:line="240" w:lineRule="auto"/>
        <w:jc w:val="both"/>
        <w:rPr>
          <w:rFonts w:ascii="Times New Roman" w:hAnsi="Times New Roman"/>
        </w:rPr>
      </w:pPr>
      <w:r w:rsidRPr="00EF4B1F">
        <w:rPr>
          <w:rFonts w:ascii="Times New Roman" w:hAnsi="Times New Roman"/>
        </w:rPr>
        <w:t>U 2023. godini, ukupno ostvareni rashodi iznose 4.267-158,64 €, od čeg se 2.198.447,89 € odnosi na rashode poslovanja, a 2.068.710,75 € se odnosi na rashode za nabavu nefinancijske imovine. Izdaci za financijsku imovinu realizirani su u iznosu od 48.161.79 €.</w:t>
      </w:r>
    </w:p>
    <w:p w14:paraId="61096B68" w14:textId="77777777" w:rsidR="00BD2744" w:rsidRPr="00BD2744" w:rsidRDefault="00BD2744" w:rsidP="00EF4B1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Rashodi za zaposlene (31</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 xml:space="preserve">u 2023. godini realizirani su u iznosu 306.481,55 €, a odnose se na rashode na zaposlene u jedinstvenom upravnom odjelu, plaće načelnika, plaće komunalnih radnika, plaće javnih radova i plaću voditeljice projekta Zaželi. </w:t>
      </w:r>
    </w:p>
    <w:p w14:paraId="416A4FF8" w14:textId="77777777" w:rsidR="00BD2744" w:rsidRPr="00BD2744" w:rsidRDefault="00BD2744" w:rsidP="00EF4B1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Materijalni rashodi (32</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u razdoblju od 1.1. do 31.12.2023. godine realizirani su u iznosu 767.802,45 €, a odnose se na rashode za izvršavanje programskih aktivnosti i redovno poslovanje općinske uprave čiji će detaljni prikaz utroška uslijediti u dijelu obrazloženja utroška sredstava po programskoj klasifikaciji.</w:t>
      </w:r>
    </w:p>
    <w:p w14:paraId="268AB91C"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U strukturi materijalni rashoda iznos od 8.608,59 € odnosi se na troškove službenih putovanja. Rashodi za naknade za prijevoz na posao i s posla iznosi 6.368,59 €. Na stručno usavršavanje zaposlenika utrošeno je 1.316,59 €.</w:t>
      </w:r>
    </w:p>
    <w:p w14:paraId="32EC1CBF"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kern w:val="3"/>
          <w:lang w:eastAsia="en-US"/>
        </w:rPr>
        <w:t>Rashodi za materijal i energiju realizirani su u iznosu 82.838,32 €. Unutar skupine utrošena su sredstva na uredski materijal, literaturu, materijal i sredstva za čišćenje i održavanje, materijal i dijelove za tekuće i investicijsko održavanje, sitni inventar, električna energija, usluge telefona, usluge promidžbe, zakupnine i najamnine, intelektualne usluge te usluge reprezentacije i članarine.</w:t>
      </w:r>
    </w:p>
    <w:p w14:paraId="2717A05B" w14:textId="77777777" w:rsidR="00BD2744" w:rsidRPr="00BD2744" w:rsidRDefault="00BD2744" w:rsidP="00EF4B1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Financijski rashodi (34)</w:t>
      </w:r>
      <w:r w:rsidRPr="00BD2744">
        <w:rPr>
          <w:rFonts w:ascii="Times New Roman" w:eastAsia="Calibri" w:hAnsi="Times New Roman"/>
          <w:kern w:val="3"/>
          <w:lang w:eastAsia="en-US"/>
        </w:rPr>
        <w:t xml:space="preserve"> realizirani su u iznosu od 10.538,42 € u 2023. godini. Unutar skupine financijskih rashoda ubrajamo izdatke za bankarske usluge i usluge platnog prometa, izdatke za kamate.</w:t>
      </w:r>
    </w:p>
    <w:p w14:paraId="506F9C26" w14:textId="77777777" w:rsidR="00BD2744" w:rsidRPr="00BD2744" w:rsidRDefault="00BD2744" w:rsidP="00EF4B1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Subvencije (35)</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se odnose na rashode subvencioniranja boravka djece u DV Kosjenka u Cerni. Iznos subvencije realiziran u 2023. godini iznosi 92.197,86 €.</w:t>
      </w:r>
    </w:p>
    <w:p w14:paraId="64C63685" w14:textId="77777777" w:rsidR="00BD2744" w:rsidRP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Pomoći dane u inozemstvo i unutar općeg proračuna (36</w:t>
      </w:r>
      <w:r w:rsidRPr="00BD2744">
        <w:rPr>
          <w:rFonts w:ascii="Times New Roman" w:eastAsia="Calibri" w:hAnsi="Times New Roman"/>
          <w:i/>
          <w:iCs/>
          <w:kern w:val="3"/>
          <w:lang w:eastAsia="en-US"/>
        </w:rPr>
        <w:t>)</w:t>
      </w:r>
      <w:r w:rsidRPr="00BD2744">
        <w:rPr>
          <w:rFonts w:ascii="Times New Roman" w:eastAsia="Calibri" w:hAnsi="Times New Roman"/>
          <w:kern w:val="3"/>
          <w:lang w:eastAsia="en-US"/>
        </w:rPr>
        <w:t xml:space="preserve"> realizirane su u iznosu 12.222,16 €. Realizaciju čini financiranje prehrane za učenike, organiziranje predstava i ljetnih kina za mlađe uzraste. Iznos od 8.904,58 € je iznos subvencije boravka djece u ostalim gradskim i općinskim vrtićima.</w:t>
      </w:r>
    </w:p>
    <w:p w14:paraId="2326688E" w14:textId="77777777" w:rsidR="00BD2744" w:rsidRPr="00BD2744" w:rsidRDefault="00BD2744" w:rsidP="00EF4B1F">
      <w:pPr>
        <w:suppressAutoHyphens/>
        <w:autoSpaceDN w:val="0"/>
        <w:spacing w:after="160" w:line="240" w:lineRule="auto"/>
        <w:jc w:val="both"/>
        <w:rPr>
          <w:rFonts w:ascii="Times New Roman" w:eastAsia="Calibri" w:hAnsi="Times New Roman"/>
          <w:i/>
          <w:iCs/>
          <w:kern w:val="3"/>
          <w:lang w:eastAsia="en-US"/>
        </w:rPr>
      </w:pPr>
      <w:r w:rsidRPr="00BD2744">
        <w:rPr>
          <w:rFonts w:ascii="Times New Roman" w:eastAsia="Calibri" w:hAnsi="Times New Roman"/>
          <w:i/>
          <w:iCs/>
          <w:kern w:val="3"/>
          <w:u w:val="single"/>
          <w:lang w:eastAsia="en-US"/>
        </w:rPr>
        <w:t>Naknade građanima i kućanstvima na temelju osiguranja i druge naknade (37)</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ostvarene su u iznosu od 717.972,52 €.</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Naknade se najvećim djelom odnose na naknade unutar Socijalnog programa Općine Cerna.</w:t>
      </w:r>
    </w:p>
    <w:p w14:paraId="1385DA11" w14:textId="77777777" w:rsidR="00BD2744" w:rsidRDefault="00BD2744" w:rsidP="00EF4B1F">
      <w:pPr>
        <w:suppressAutoHyphens/>
        <w:autoSpaceDN w:val="0"/>
        <w:spacing w:after="160" w:line="240" w:lineRule="auto"/>
        <w:jc w:val="both"/>
        <w:rPr>
          <w:rFonts w:ascii="Times New Roman" w:eastAsia="Calibri" w:hAnsi="Times New Roman"/>
          <w:kern w:val="3"/>
          <w:lang w:eastAsia="en-US"/>
        </w:rPr>
      </w:pPr>
      <w:r w:rsidRPr="00BD2744">
        <w:rPr>
          <w:rFonts w:ascii="Times New Roman" w:eastAsia="Calibri" w:hAnsi="Times New Roman"/>
          <w:i/>
          <w:iCs/>
          <w:kern w:val="3"/>
          <w:u w:val="single"/>
          <w:lang w:eastAsia="en-US"/>
        </w:rPr>
        <w:t>Ostali rashodi (38)</w:t>
      </w:r>
      <w:r w:rsidRPr="00BD2744">
        <w:rPr>
          <w:rFonts w:ascii="Times New Roman" w:eastAsia="Calibri" w:hAnsi="Times New Roman"/>
          <w:i/>
          <w:iCs/>
          <w:kern w:val="3"/>
          <w:lang w:eastAsia="en-US"/>
        </w:rPr>
        <w:t xml:space="preserve"> </w:t>
      </w:r>
      <w:r w:rsidRPr="00BD2744">
        <w:rPr>
          <w:rFonts w:ascii="Times New Roman" w:eastAsia="Calibri" w:hAnsi="Times New Roman"/>
          <w:kern w:val="3"/>
          <w:lang w:eastAsia="en-US"/>
        </w:rPr>
        <w:t>obuhvaćaju tekuće donacije. Ostali rashodi realizirani su u periodu od 1.1. do 31.12.2023. godine u iznosu od 291.232,93 €. Rashodi za tekuće donacije u okviru skupine ostalih rashoda odnose se na sredstva za financiranje programa javnih potreba u sportu, javnih potreba u kulturi, javnih potreba udruga građana, javnih potreba vjerskih zajednica, vatrogastvo i civilna zaštita te ostali rashodi za potrebe školstva.</w:t>
      </w:r>
    </w:p>
    <w:p w14:paraId="2A6E240F" w14:textId="77777777" w:rsidR="00935AE9" w:rsidRDefault="00935AE9" w:rsidP="00EF4B1F">
      <w:pPr>
        <w:suppressAutoHyphens/>
        <w:autoSpaceDN w:val="0"/>
        <w:spacing w:after="160" w:line="240" w:lineRule="auto"/>
        <w:jc w:val="both"/>
        <w:rPr>
          <w:rFonts w:ascii="Times New Roman" w:eastAsia="Calibri" w:hAnsi="Times New Roman"/>
          <w:i/>
          <w:iCs/>
          <w:kern w:val="3"/>
          <w:lang w:eastAsia="en-US"/>
        </w:rPr>
      </w:pPr>
    </w:p>
    <w:p w14:paraId="38912439" w14:textId="77777777" w:rsidR="00935AE9" w:rsidRDefault="00935AE9" w:rsidP="00EF4B1F">
      <w:pPr>
        <w:suppressAutoHyphens/>
        <w:autoSpaceDN w:val="0"/>
        <w:spacing w:after="160" w:line="240" w:lineRule="auto"/>
        <w:jc w:val="both"/>
        <w:rPr>
          <w:rFonts w:ascii="Times New Roman" w:eastAsia="Calibri" w:hAnsi="Times New Roman"/>
          <w:i/>
          <w:iCs/>
          <w:kern w:val="3"/>
          <w:lang w:eastAsia="en-US"/>
        </w:rPr>
      </w:pPr>
    </w:p>
    <w:p w14:paraId="084072F7" w14:textId="77777777" w:rsidR="00935AE9" w:rsidRDefault="00935AE9" w:rsidP="00EF4B1F">
      <w:pPr>
        <w:suppressAutoHyphens/>
        <w:autoSpaceDN w:val="0"/>
        <w:spacing w:after="160" w:line="240" w:lineRule="auto"/>
        <w:jc w:val="both"/>
        <w:rPr>
          <w:rFonts w:ascii="Times New Roman" w:eastAsia="Calibri" w:hAnsi="Times New Roman"/>
          <w:i/>
          <w:iCs/>
          <w:kern w:val="3"/>
          <w:lang w:eastAsia="en-US"/>
        </w:rPr>
      </w:pPr>
    </w:p>
    <w:p w14:paraId="777F7D8A" w14:textId="77777777" w:rsidR="00935AE9" w:rsidRDefault="00935AE9" w:rsidP="00EF4B1F">
      <w:pPr>
        <w:suppressAutoHyphens/>
        <w:autoSpaceDN w:val="0"/>
        <w:spacing w:after="160" w:line="240" w:lineRule="auto"/>
        <w:jc w:val="both"/>
        <w:rPr>
          <w:rFonts w:ascii="Times New Roman" w:eastAsia="Calibri" w:hAnsi="Times New Roman"/>
          <w:i/>
          <w:iCs/>
          <w:kern w:val="3"/>
          <w:lang w:eastAsia="en-US"/>
        </w:rPr>
      </w:pPr>
    </w:p>
    <w:p w14:paraId="292D8B34" w14:textId="77777777" w:rsidR="00935AE9" w:rsidRPr="00BD2744" w:rsidRDefault="00935AE9" w:rsidP="00EF4B1F">
      <w:pPr>
        <w:suppressAutoHyphens/>
        <w:autoSpaceDN w:val="0"/>
        <w:spacing w:after="160" w:line="240" w:lineRule="auto"/>
        <w:jc w:val="both"/>
        <w:rPr>
          <w:rFonts w:ascii="Times New Roman" w:eastAsia="Calibri" w:hAnsi="Times New Roman"/>
          <w:i/>
          <w:iCs/>
          <w:kern w:val="3"/>
          <w:lang w:eastAsia="en-US"/>
        </w:rPr>
      </w:pPr>
    </w:p>
    <w:p w14:paraId="6E803F6B" w14:textId="77777777" w:rsidR="00EF4B1F" w:rsidRPr="00EF4B1F" w:rsidRDefault="00EF4B1F" w:rsidP="00EF4B1F">
      <w:pPr>
        <w:tabs>
          <w:tab w:val="left" w:pos="2175"/>
        </w:tabs>
        <w:suppressAutoHyphens/>
        <w:autoSpaceDN w:val="0"/>
        <w:spacing w:after="160" w:line="240" w:lineRule="auto"/>
        <w:jc w:val="both"/>
        <w:rPr>
          <w:rFonts w:ascii="Times New Roman" w:eastAsia="Calibri" w:hAnsi="Times New Roman"/>
          <w:b/>
          <w:bCs/>
          <w:kern w:val="3"/>
          <w:lang w:eastAsia="en-US"/>
        </w:rPr>
      </w:pPr>
      <w:r w:rsidRPr="00EF4B1F">
        <w:rPr>
          <w:rFonts w:ascii="Times New Roman" w:eastAsia="Calibri" w:hAnsi="Times New Roman"/>
          <w:b/>
          <w:bCs/>
          <w:kern w:val="3"/>
          <w:lang w:eastAsia="en-US"/>
        </w:rPr>
        <w:lastRenderedPageBreak/>
        <w:t>Rashodi za nabavi nefinancijske imovine</w:t>
      </w:r>
    </w:p>
    <w:p w14:paraId="490DD213" w14:textId="77777777" w:rsidR="00EF4B1F" w:rsidRPr="00EF4B1F" w:rsidRDefault="00EF4B1F" w:rsidP="00EF4B1F">
      <w:pPr>
        <w:suppressAutoHyphens/>
        <w:autoSpaceDN w:val="0"/>
        <w:spacing w:after="160" w:line="240" w:lineRule="auto"/>
        <w:jc w:val="both"/>
        <w:rPr>
          <w:rFonts w:ascii="Times New Roman" w:eastAsia="Calibri" w:hAnsi="Times New Roman"/>
          <w:kern w:val="3"/>
          <w:lang w:eastAsia="en-US"/>
        </w:rPr>
      </w:pPr>
      <w:r w:rsidRPr="00EF4B1F">
        <w:rPr>
          <w:rFonts w:ascii="Times New Roman" w:eastAsia="Calibri" w:hAnsi="Times New Roman"/>
          <w:kern w:val="3"/>
          <w:lang w:eastAsia="en-US"/>
        </w:rPr>
        <w:t xml:space="preserve">Rashodi za nabavu nefinancijske imovine realizirani su u iznosu 2.068.710,75 €. </w:t>
      </w:r>
    </w:p>
    <w:p w14:paraId="3240F374" w14:textId="77777777" w:rsidR="00EF4B1F" w:rsidRPr="00EF4B1F" w:rsidRDefault="00EF4B1F" w:rsidP="00EF4B1F">
      <w:pPr>
        <w:suppressAutoHyphens/>
        <w:autoSpaceDN w:val="0"/>
        <w:spacing w:after="160" w:line="240" w:lineRule="auto"/>
        <w:jc w:val="both"/>
        <w:rPr>
          <w:rFonts w:ascii="Times New Roman" w:eastAsia="Calibri" w:hAnsi="Times New Roman"/>
          <w:kern w:val="3"/>
          <w:lang w:eastAsia="en-US"/>
        </w:rPr>
      </w:pPr>
      <w:r w:rsidRPr="00EF4B1F">
        <w:rPr>
          <w:rFonts w:ascii="Times New Roman" w:eastAsia="Calibri" w:hAnsi="Times New Roman"/>
          <w:kern w:val="3"/>
          <w:lang w:eastAsia="en-US"/>
        </w:rPr>
        <w:t>Iznos od 1.899.716,80 € utrošen je na sljedeće investicije:</w:t>
      </w:r>
    </w:p>
    <w:p w14:paraId="00C866BC"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Izgradnja dječjeg vrtića 99.204,32 €</w:t>
      </w:r>
    </w:p>
    <w:p w14:paraId="2319F99D"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Sanacija krovišta Ribičkog doma u Cerni 22.233,16 €</w:t>
      </w:r>
    </w:p>
    <w:p w14:paraId="3689C22C"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Rekonstrukcija kolnika u ulici Mala Cerna 985.220,25 €</w:t>
      </w:r>
    </w:p>
    <w:p w14:paraId="5DEAD18F"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Izgradnja i rekonstrukcija prometnice u Vukovarskoj ulici 202.225,26 €</w:t>
      </w:r>
    </w:p>
    <w:p w14:paraId="14764CB1"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Rekonstrukcija odvojka u ulici Mala Cerna 27.261,68 €</w:t>
      </w:r>
    </w:p>
    <w:p w14:paraId="1968F1CD"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Sanacija dijela ceste u ulici Miroslava Tišljara 141.269,10 €</w:t>
      </w:r>
    </w:p>
    <w:p w14:paraId="6A111498"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 xml:space="preserve">Sanacija ceste u ulici K. Zvonimira 85.355,36 € </w:t>
      </w:r>
    </w:p>
    <w:p w14:paraId="2C50043B"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Izgradnja nogostupa i platoa u ulici K. Tomislava 34.540,94 €</w:t>
      </w:r>
    </w:p>
    <w:p w14:paraId="14BF0C53"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Radovi Zona Zagrađe 12.180,69 €</w:t>
      </w:r>
    </w:p>
    <w:p w14:paraId="00488B2C"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Izgradnja kanalizacije 4.237,57 €</w:t>
      </w:r>
    </w:p>
    <w:p w14:paraId="7A0FC13E"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Stambeni objekt 25.000,00 €</w:t>
      </w:r>
    </w:p>
    <w:p w14:paraId="49755273"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Javna rasvjeta u Šiškovcima 57.018,83 €</w:t>
      </w:r>
    </w:p>
    <w:p w14:paraId="34E8CF6F"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Sanacija nogostupa u ulici Velika Cerna 5.016,73 €</w:t>
      </w:r>
    </w:p>
    <w:p w14:paraId="626A9E01"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Sanacija pješačkih staza u ulici Velika Cerna od k. č. br.146 do k. č. br. 2619/15, 39.516,13 €</w:t>
      </w:r>
    </w:p>
    <w:p w14:paraId="2F3C6D8C"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Uređenje dječjeg igrališta 13.113,82 €</w:t>
      </w:r>
    </w:p>
    <w:p w14:paraId="3C435DE4"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Sanacija pješačkih staza na groblju u Cerni 73.165,94 €</w:t>
      </w:r>
    </w:p>
    <w:p w14:paraId="7F75B8FC"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Platforma za pristup osoba sa invaliditetom 11.000,00 €</w:t>
      </w:r>
    </w:p>
    <w:p w14:paraId="62468E7C"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Sanacija pješačkih staza u Šiškovcima 850,00 €</w:t>
      </w:r>
    </w:p>
    <w:p w14:paraId="47D51D76"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Izgradnja doma za starije i nemoćne osobe u Šiškovcima 50.880,62 €</w:t>
      </w:r>
    </w:p>
    <w:p w14:paraId="55D81FB7"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Izgradnja reciklažnog dvorišta 3.250,00 €</w:t>
      </w:r>
    </w:p>
    <w:p w14:paraId="5F45A63D" w14:textId="77777777" w:rsidR="00EF4B1F" w:rsidRP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EF4B1F">
        <w:rPr>
          <w:rFonts w:ascii="Times New Roman" w:eastAsia="Calibri" w:hAnsi="Times New Roman"/>
          <w:kern w:val="3"/>
          <w:lang w:eastAsia="en-US"/>
        </w:rPr>
        <w:t>Izgradnja tržnice 7.176,40 €</w:t>
      </w:r>
    </w:p>
    <w:p w14:paraId="0E076E8B" w14:textId="77777777" w:rsidR="00EF4B1F" w:rsidRPr="00EF4B1F" w:rsidRDefault="00EF4B1F" w:rsidP="00EF4B1F">
      <w:pPr>
        <w:suppressAutoHyphens/>
        <w:autoSpaceDN w:val="0"/>
        <w:spacing w:after="160" w:line="240" w:lineRule="auto"/>
        <w:ind w:left="720"/>
        <w:contextualSpacing/>
        <w:jc w:val="both"/>
        <w:rPr>
          <w:rFonts w:ascii="Times New Roman" w:eastAsia="Calibri" w:hAnsi="Times New Roman"/>
          <w:color w:val="FF0000"/>
          <w:kern w:val="3"/>
          <w:lang w:eastAsia="en-US"/>
        </w:rPr>
      </w:pPr>
    </w:p>
    <w:p w14:paraId="4E28920D" w14:textId="77777777" w:rsidR="00EF4B1F" w:rsidRPr="00EF4B1F" w:rsidRDefault="00EF4B1F" w:rsidP="00EF4B1F">
      <w:pPr>
        <w:suppressAutoHyphens/>
        <w:autoSpaceDN w:val="0"/>
        <w:spacing w:after="160" w:line="240" w:lineRule="auto"/>
        <w:jc w:val="both"/>
        <w:rPr>
          <w:rFonts w:ascii="Times New Roman" w:eastAsia="Calibri" w:hAnsi="Times New Roman"/>
          <w:kern w:val="3"/>
          <w:lang w:eastAsia="en-US"/>
        </w:rPr>
      </w:pPr>
      <w:r w:rsidRPr="00EF4B1F">
        <w:rPr>
          <w:rFonts w:ascii="Times New Roman" w:eastAsia="Calibri" w:hAnsi="Times New Roman"/>
          <w:kern w:val="3"/>
          <w:lang w:eastAsia="en-US"/>
        </w:rPr>
        <w:t>Na postrojenja i opremu utrošeno je 106.071,02 €, na prijevozna sredstva 46.986,96 €, dok je za rashode za nabavu nematerijalne proizvedene imovine utrošeno 9.954,22 €.</w:t>
      </w:r>
    </w:p>
    <w:p w14:paraId="641E2513" w14:textId="07BEA434" w:rsidR="00EF4B1F" w:rsidRDefault="00EF4B1F" w:rsidP="00EF4B1F">
      <w:pPr>
        <w:suppressAutoHyphens/>
        <w:autoSpaceDN w:val="0"/>
        <w:spacing w:after="160" w:line="240" w:lineRule="auto"/>
        <w:jc w:val="both"/>
        <w:rPr>
          <w:rFonts w:ascii="Times New Roman" w:eastAsia="Calibri" w:hAnsi="Times New Roman"/>
          <w:kern w:val="3"/>
          <w:lang w:eastAsia="en-US"/>
        </w:rPr>
      </w:pPr>
      <w:r w:rsidRPr="00EF4B1F">
        <w:rPr>
          <w:rFonts w:ascii="Times New Roman" w:eastAsia="Calibri" w:hAnsi="Times New Roman"/>
          <w:kern w:val="3"/>
          <w:lang w:eastAsia="en-US"/>
        </w:rPr>
        <w:t>Rashodi za dodatna ulaganja na građevinskim objektima u 2023. iznose 5.981,75 €, a odnose se na zgradu Lovačkog doma.</w:t>
      </w:r>
    </w:p>
    <w:p w14:paraId="255EDAD9" w14:textId="77777777" w:rsidR="00935AE9" w:rsidRPr="00EF4B1F" w:rsidRDefault="00935AE9" w:rsidP="00EF4B1F">
      <w:pPr>
        <w:suppressAutoHyphens/>
        <w:autoSpaceDN w:val="0"/>
        <w:spacing w:after="160" w:line="240" w:lineRule="auto"/>
        <w:jc w:val="both"/>
        <w:rPr>
          <w:rFonts w:ascii="Times New Roman" w:eastAsia="Calibri" w:hAnsi="Times New Roman"/>
          <w:kern w:val="3"/>
          <w:lang w:eastAsia="en-US"/>
        </w:rPr>
      </w:pPr>
    </w:p>
    <w:p w14:paraId="73812FCD" w14:textId="1425D9A5" w:rsidR="00EF4B1F" w:rsidRPr="00EF4B1F" w:rsidRDefault="00EF4B1F" w:rsidP="00EF4B1F">
      <w:pPr>
        <w:suppressAutoHyphens/>
        <w:autoSpaceDE w:val="0"/>
        <w:autoSpaceDN w:val="0"/>
        <w:adjustRightInd w:val="0"/>
        <w:spacing w:after="0" w:line="240" w:lineRule="auto"/>
        <w:jc w:val="both"/>
        <w:rPr>
          <w:rFonts w:ascii="Times New Roman" w:eastAsiaTheme="minorHAnsi" w:hAnsi="Times New Roman"/>
          <w:b/>
          <w:bCs/>
          <w:kern w:val="3"/>
          <w:lang w:eastAsia="en-US"/>
        </w:rPr>
      </w:pPr>
      <w:r w:rsidRPr="00EF4B1F">
        <w:rPr>
          <w:rFonts w:ascii="Times New Roman" w:eastAsiaTheme="minorHAnsi" w:hAnsi="Times New Roman"/>
          <w:b/>
          <w:bCs/>
          <w:kern w:val="3"/>
          <w:lang w:eastAsia="en-US"/>
        </w:rPr>
        <w:t xml:space="preserve">Izdaci za financijsku imovinu i otplatu zajmova </w:t>
      </w:r>
    </w:p>
    <w:p w14:paraId="3E13CCE0" w14:textId="77777777" w:rsidR="00EF4B1F" w:rsidRPr="00EF4B1F" w:rsidRDefault="00EF4B1F" w:rsidP="00EF4B1F">
      <w:pPr>
        <w:suppressAutoHyphens/>
        <w:autoSpaceDE w:val="0"/>
        <w:autoSpaceDN w:val="0"/>
        <w:adjustRightInd w:val="0"/>
        <w:spacing w:after="0" w:line="240" w:lineRule="auto"/>
        <w:jc w:val="both"/>
        <w:rPr>
          <w:rFonts w:ascii="Times New Roman" w:eastAsiaTheme="minorHAnsi" w:hAnsi="Times New Roman"/>
          <w:b/>
          <w:bCs/>
          <w:kern w:val="3"/>
          <w:lang w:eastAsia="en-US"/>
        </w:rPr>
      </w:pPr>
    </w:p>
    <w:p w14:paraId="18A77B87" w14:textId="77777777" w:rsidR="00EF4B1F" w:rsidRPr="00EF4B1F"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EF4B1F">
        <w:rPr>
          <w:rFonts w:ascii="Times New Roman" w:eastAsia="Calibri" w:hAnsi="Times New Roman"/>
          <w:kern w:val="3"/>
          <w:lang w:eastAsia="en-US"/>
        </w:rPr>
        <w:t>Izdaci za financijsku imovinu i otplate zajmova planirani su u iznosu od 66.968,11 EUR, a realizirani su u iznosu od 48.161,79 EUR u 2023. godini.</w:t>
      </w:r>
    </w:p>
    <w:p w14:paraId="6C3AAED3" w14:textId="77777777" w:rsidR="00EF4B1F" w:rsidRPr="00EF4B1F"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2251CB1E" w14:textId="77777777" w:rsidR="00EF4B1F" w:rsidRPr="00EF4B1F" w:rsidRDefault="00EF4B1F" w:rsidP="00EF4B1F">
      <w:pPr>
        <w:pStyle w:val="Odlomakpopisa"/>
        <w:numPr>
          <w:ilvl w:val="0"/>
          <w:numId w:val="9"/>
        </w:numPr>
        <w:suppressAutoHyphens/>
        <w:autoSpaceDE w:val="0"/>
        <w:autoSpaceDN w:val="0"/>
        <w:adjustRightInd w:val="0"/>
        <w:spacing w:after="0" w:line="240" w:lineRule="auto"/>
        <w:jc w:val="both"/>
        <w:rPr>
          <w:rFonts w:ascii="Times New Roman" w:eastAsia="Calibri" w:hAnsi="Times New Roman"/>
          <w:b/>
          <w:bCs/>
          <w:kern w:val="3"/>
          <w:lang w:eastAsia="en-US"/>
        </w:rPr>
      </w:pPr>
      <w:r w:rsidRPr="00EF4B1F">
        <w:rPr>
          <w:rFonts w:ascii="Times New Roman" w:eastAsia="Calibri" w:hAnsi="Times New Roman"/>
          <w:b/>
          <w:bCs/>
          <w:kern w:val="3"/>
          <w:lang w:eastAsia="en-US"/>
        </w:rPr>
        <w:t>Kredit kod Privredne banke Zagreb d.d.</w:t>
      </w:r>
    </w:p>
    <w:p w14:paraId="36E9F81E" w14:textId="77777777" w:rsidR="00EF4B1F"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EF4B1F">
        <w:rPr>
          <w:rFonts w:ascii="Times New Roman" w:eastAsia="Calibri" w:hAnsi="Times New Roman"/>
          <w:kern w:val="3"/>
          <w:lang w:eastAsia="en-US"/>
        </w:rPr>
        <w:t>Dana 27.01. 2023. godine sklopljen je Ugovor o dugoročnom kreditu u iznosu od 530.891,23 €, s rokom otplate od četiri godine, bez počeka, s jednakim mjesečnim ratama, uz fiksnu godišnju kamatnu stopu od 1,40%. Radi se o namjenskom kreditu za financiranje kapitalnog projekta „Rekonstrukcija kolnika u ulici Mala Cerna“. Kredit nije u cijelosti iskorišten, te nam je stvarno zaduženje 457.165,91 €. U 2023. godini otplaćeno je 47.621,45 € glavnice i 2.571,82 € kamata.</w:t>
      </w:r>
    </w:p>
    <w:p w14:paraId="2967A55E" w14:textId="77777777" w:rsidR="00935AE9" w:rsidRDefault="00935AE9"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150BE292" w14:textId="77777777" w:rsidR="00935AE9" w:rsidRDefault="00935AE9"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01A05D99" w14:textId="77777777" w:rsidR="00935AE9" w:rsidRPr="00EF4B1F" w:rsidRDefault="00935AE9"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48E075E8" w14:textId="77777777" w:rsidR="00EF4B1F" w:rsidRPr="00EF4B1F"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66182B68" w14:textId="04210C48" w:rsidR="00EF4B1F" w:rsidRPr="00EF4B1F" w:rsidRDefault="00EF4B1F" w:rsidP="00EF4B1F">
      <w:pPr>
        <w:suppressAutoHyphens/>
        <w:autoSpaceDE w:val="0"/>
        <w:autoSpaceDN w:val="0"/>
        <w:adjustRightInd w:val="0"/>
        <w:spacing w:after="0" w:line="240" w:lineRule="auto"/>
        <w:jc w:val="both"/>
        <w:rPr>
          <w:rFonts w:ascii="Times New Roman" w:eastAsia="Calibri" w:hAnsi="Times New Roman"/>
          <w:b/>
          <w:bCs/>
          <w:kern w:val="3"/>
          <w:lang w:eastAsia="en-US"/>
        </w:rPr>
      </w:pPr>
      <w:r w:rsidRPr="00EF4B1F">
        <w:rPr>
          <w:rFonts w:ascii="Times New Roman" w:eastAsia="Calibri" w:hAnsi="Times New Roman"/>
          <w:b/>
          <w:bCs/>
          <w:kern w:val="3"/>
          <w:lang w:eastAsia="en-US"/>
        </w:rPr>
        <w:lastRenderedPageBreak/>
        <w:t>2.1.3. Prihodi i primici, te rashodi i izdaci ostvareni preuzimanjem nefinancijske i financijske imovine u naplati potraživanja javnih davanja</w:t>
      </w:r>
    </w:p>
    <w:p w14:paraId="04AE48B0" w14:textId="77777777" w:rsidR="00EF4B1F" w:rsidRPr="00EF4B1F"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5284582D" w14:textId="6E2666B1" w:rsidR="00EF4B1F" w:rsidRPr="00EF4B1F"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EF4B1F">
        <w:rPr>
          <w:rFonts w:ascii="Times New Roman" w:eastAsia="Calibri" w:hAnsi="Times New Roman"/>
          <w:kern w:val="3"/>
          <w:lang w:eastAsia="en-US"/>
        </w:rPr>
        <w:t xml:space="preserve">Općina Cerna nema realiziranih prihoda i primitaka, rashoda i izdataka ostvarenih preuzimanjem nefinancijske i financijske imovine u postupku naplate potraživanja javnih davanja. </w:t>
      </w:r>
    </w:p>
    <w:p w14:paraId="45F08426" w14:textId="77777777" w:rsidR="00BD2744" w:rsidRPr="00EF4B1F" w:rsidRDefault="00BD2744" w:rsidP="00EF4B1F">
      <w:pPr>
        <w:spacing w:line="240" w:lineRule="auto"/>
        <w:jc w:val="both"/>
        <w:rPr>
          <w:rFonts w:ascii="Times New Roman" w:hAnsi="Times New Roman"/>
          <w:b/>
          <w:bCs/>
        </w:rPr>
      </w:pPr>
    </w:p>
    <w:p w14:paraId="0B4D8C70" w14:textId="77777777" w:rsidR="00EF4B1F" w:rsidRPr="00EF4B1F" w:rsidRDefault="00EF4B1F" w:rsidP="00EF4B1F">
      <w:pPr>
        <w:spacing w:line="240" w:lineRule="auto"/>
        <w:jc w:val="both"/>
        <w:rPr>
          <w:rFonts w:ascii="Times New Roman" w:hAnsi="Times New Roman"/>
          <w:b/>
          <w:bCs/>
        </w:rPr>
      </w:pPr>
    </w:p>
    <w:p w14:paraId="6C24D5C2" w14:textId="77777777" w:rsidR="00EF4B1F" w:rsidRPr="00EF4B1F" w:rsidRDefault="00EF4B1F" w:rsidP="00EF4B1F">
      <w:pPr>
        <w:spacing w:line="240" w:lineRule="auto"/>
        <w:jc w:val="both"/>
        <w:rPr>
          <w:rFonts w:ascii="Times New Roman" w:hAnsi="Times New Roman"/>
          <w:b/>
          <w:bCs/>
        </w:rPr>
      </w:pPr>
    </w:p>
    <w:p w14:paraId="3DDA4570" w14:textId="77777777" w:rsidR="00EF4B1F" w:rsidRPr="00EF4B1F" w:rsidRDefault="00EF4B1F" w:rsidP="00EF4B1F">
      <w:pPr>
        <w:spacing w:line="240" w:lineRule="auto"/>
        <w:jc w:val="both"/>
        <w:rPr>
          <w:rFonts w:ascii="Times New Roman" w:hAnsi="Times New Roman"/>
          <w:b/>
          <w:bCs/>
        </w:rPr>
      </w:pPr>
    </w:p>
    <w:p w14:paraId="0A873C20" w14:textId="77777777" w:rsidR="00EF4B1F" w:rsidRPr="00EF4B1F" w:rsidRDefault="00EF4B1F" w:rsidP="00EF4B1F">
      <w:pPr>
        <w:spacing w:line="240" w:lineRule="auto"/>
        <w:jc w:val="both"/>
        <w:rPr>
          <w:rFonts w:ascii="Times New Roman" w:hAnsi="Times New Roman"/>
          <w:b/>
          <w:bCs/>
        </w:rPr>
      </w:pPr>
    </w:p>
    <w:p w14:paraId="6897B7ED" w14:textId="77777777" w:rsidR="00EF4B1F" w:rsidRPr="00EF4B1F" w:rsidRDefault="00EF4B1F" w:rsidP="00EF4B1F">
      <w:pPr>
        <w:spacing w:line="240" w:lineRule="auto"/>
        <w:jc w:val="both"/>
        <w:rPr>
          <w:rFonts w:ascii="Times New Roman" w:hAnsi="Times New Roman"/>
          <w:b/>
          <w:bCs/>
        </w:rPr>
      </w:pPr>
    </w:p>
    <w:p w14:paraId="569EABBB" w14:textId="77777777" w:rsidR="00EF4B1F" w:rsidRPr="00EF4B1F" w:rsidRDefault="00EF4B1F" w:rsidP="00EF4B1F">
      <w:pPr>
        <w:spacing w:line="240" w:lineRule="auto"/>
        <w:jc w:val="both"/>
        <w:rPr>
          <w:rFonts w:ascii="Times New Roman" w:hAnsi="Times New Roman"/>
          <w:b/>
          <w:bCs/>
        </w:rPr>
      </w:pPr>
    </w:p>
    <w:p w14:paraId="4A0434A8" w14:textId="77777777" w:rsidR="00EF4B1F" w:rsidRPr="00EF4B1F" w:rsidRDefault="00EF4B1F" w:rsidP="00EF4B1F">
      <w:pPr>
        <w:spacing w:line="240" w:lineRule="auto"/>
        <w:jc w:val="both"/>
        <w:rPr>
          <w:rFonts w:ascii="Times New Roman" w:hAnsi="Times New Roman"/>
          <w:b/>
          <w:bCs/>
        </w:rPr>
      </w:pPr>
    </w:p>
    <w:p w14:paraId="208A9F13" w14:textId="77777777" w:rsidR="00EF4B1F" w:rsidRPr="00EF4B1F" w:rsidRDefault="00EF4B1F" w:rsidP="00EF4B1F">
      <w:pPr>
        <w:spacing w:line="240" w:lineRule="auto"/>
        <w:jc w:val="both"/>
        <w:rPr>
          <w:rFonts w:ascii="Times New Roman" w:hAnsi="Times New Roman"/>
          <w:b/>
          <w:bCs/>
        </w:rPr>
      </w:pPr>
    </w:p>
    <w:p w14:paraId="458C1959" w14:textId="77777777" w:rsidR="00EF4B1F" w:rsidRPr="00EF4B1F" w:rsidRDefault="00EF4B1F" w:rsidP="00EF4B1F">
      <w:pPr>
        <w:spacing w:line="240" w:lineRule="auto"/>
        <w:jc w:val="both"/>
        <w:rPr>
          <w:rFonts w:ascii="Times New Roman" w:hAnsi="Times New Roman"/>
          <w:b/>
          <w:bCs/>
        </w:rPr>
      </w:pPr>
    </w:p>
    <w:p w14:paraId="06A46C34" w14:textId="77777777" w:rsidR="00EF4B1F" w:rsidRPr="00EF4B1F" w:rsidRDefault="00EF4B1F" w:rsidP="00EF4B1F">
      <w:pPr>
        <w:spacing w:line="240" w:lineRule="auto"/>
        <w:jc w:val="both"/>
        <w:rPr>
          <w:rFonts w:ascii="Times New Roman" w:hAnsi="Times New Roman"/>
          <w:b/>
          <w:bCs/>
        </w:rPr>
      </w:pPr>
    </w:p>
    <w:p w14:paraId="2A188534" w14:textId="77777777" w:rsidR="00EF4B1F" w:rsidRPr="00EF4B1F" w:rsidRDefault="00EF4B1F" w:rsidP="00EF4B1F">
      <w:pPr>
        <w:spacing w:line="240" w:lineRule="auto"/>
        <w:jc w:val="both"/>
        <w:rPr>
          <w:rFonts w:ascii="Times New Roman" w:hAnsi="Times New Roman"/>
          <w:b/>
          <w:bCs/>
        </w:rPr>
      </w:pPr>
    </w:p>
    <w:p w14:paraId="61417D55" w14:textId="77777777" w:rsidR="00EF4B1F" w:rsidRPr="00EF4B1F" w:rsidRDefault="00EF4B1F" w:rsidP="00EF4B1F">
      <w:pPr>
        <w:spacing w:line="240" w:lineRule="auto"/>
        <w:jc w:val="both"/>
        <w:rPr>
          <w:rFonts w:ascii="Times New Roman" w:hAnsi="Times New Roman"/>
          <w:b/>
          <w:bCs/>
        </w:rPr>
      </w:pPr>
    </w:p>
    <w:p w14:paraId="3B4626AB" w14:textId="77777777" w:rsidR="00EF4B1F" w:rsidRPr="00EF4B1F" w:rsidRDefault="00EF4B1F" w:rsidP="00EF4B1F">
      <w:pPr>
        <w:spacing w:line="240" w:lineRule="auto"/>
        <w:jc w:val="both"/>
        <w:rPr>
          <w:rFonts w:ascii="Times New Roman" w:hAnsi="Times New Roman"/>
          <w:b/>
          <w:bCs/>
        </w:rPr>
      </w:pPr>
    </w:p>
    <w:p w14:paraId="5A8E8DB2" w14:textId="77777777" w:rsidR="00EF4B1F" w:rsidRPr="00EF4B1F" w:rsidRDefault="00EF4B1F" w:rsidP="00EF4B1F">
      <w:pPr>
        <w:spacing w:line="240" w:lineRule="auto"/>
        <w:jc w:val="both"/>
        <w:rPr>
          <w:rFonts w:ascii="Times New Roman" w:hAnsi="Times New Roman"/>
          <w:b/>
          <w:bCs/>
        </w:rPr>
      </w:pPr>
    </w:p>
    <w:p w14:paraId="63373495" w14:textId="77777777" w:rsidR="00EF4B1F" w:rsidRPr="00EF4B1F" w:rsidRDefault="00EF4B1F" w:rsidP="00EF4B1F">
      <w:pPr>
        <w:spacing w:line="240" w:lineRule="auto"/>
        <w:jc w:val="both"/>
        <w:rPr>
          <w:rFonts w:ascii="Times New Roman" w:hAnsi="Times New Roman"/>
          <w:b/>
          <w:bCs/>
        </w:rPr>
      </w:pPr>
    </w:p>
    <w:p w14:paraId="26C181F8" w14:textId="77777777" w:rsidR="00EF4B1F" w:rsidRPr="00EF4B1F" w:rsidRDefault="00EF4B1F" w:rsidP="00EF4B1F">
      <w:pPr>
        <w:spacing w:line="240" w:lineRule="auto"/>
        <w:jc w:val="both"/>
        <w:rPr>
          <w:rFonts w:ascii="Times New Roman" w:hAnsi="Times New Roman"/>
          <w:b/>
          <w:bCs/>
        </w:rPr>
      </w:pPr>
    </w:p>
    <w:p w14:paraId="709A5245" w14:textId="77777777" w:rsidR="00EF4B1F" w:rsidRPr="00EF4B1F" w:rsidRDefault="00EF4B1F" w:rsidP="00EF4B1F">
      <w:pPr>
        <w:spacing w:line="240" w:lineRule="auto"/>
        <w:jc w:val="both"/>
        <w:rPr>
          <w:rFonts w:ascii="Times New Roman" w:hAnsi="Times New Roman"/>
          <w:b/>
          <w:bCs/>
        </w:rPr>
      </w:pPr>
    </w:p>
    <w:p w14:paraId="6FBA1F9A" w14:textId="77777777" w:rsidR="00EF4B1F" w:rsidRDefault="00EF4B1F" w:rsidP="00EF4B1F">
      <w:pPr>
        <w:spacing w:line="240" w:lineRule="auto"/>
        <w:jc w:val="both"/>
        <w:rPr>
          <w:rFonts w:ascii="Times New Roman" w:hAnsi="Times New Roman"/>
          <w:b/>
          <w:bCs/>
        </w:rPr>
      </w:pPr>
    </w:p>
    <w:p w14:paraId="4D1CEE48" w14:textId="77777777" w:rsidR="00935AE9" w:rsidRDefault="00935AE9" w:rsidP="00EF4B1F">
      <w:pPr>
        <w:spacing w:line="240" w:lineRule="auto"/>
        <w:jc w:val="both"/>
        <w:rPr>
          <w:rFonts w:ascii="Times New Roman" w:hAnsi="Times New Roman"/>
          <w:b/>
          <w:bCs/>
        </w:rPr>
      </w:pPr>
    </w:p>
    <w:p w14:paraId="6D866357" w14:textId="77777777" w:rsidR="00935AE9" w:rsidRDefault="00935AE9" w:rsidP="00EF4B1F">
      <w:pPr>
        <w:spacing w:line="240" w:lineRule="auto"/>
        <w:jc w:val="both"/>
        <w:rPr>
          <w:rFonts w:ascii="Times New Roman" w:hAnsi="Times New Roman"/>
          <w:b/>
          <w:bCs/>
        </w:rPr>
      </w:pPr>
    </w:p>
    <w:p w14:paraId="618F4E05" w14:textId="77777777" w:rsidR="00935AE9" w:rsidRDefault="00935AE9" w:rsidP="00EF4B1F">
      <w:pPr>
        <w:spacing w:line="240" w:lineRule="auto"/>
        <w:jc w:val="both"/>
        <w:rPr>
          <w:rFonts w:ascii="Times New Roman" w:hAnsi="Times New Roman"/>
          <w:b/>
          <w:bCs/>
        </w:rPr>
      </w:pPr>
    </w:p>
    <w:p w14:paraId="0D25E35A" w14:textId="77777777" w:rsidR="00935AE9" w:rsidRPr="00EF4B1F" w:rsidRDefault="00935AE9" w:rsidP="00EF4B1F">
      <w:pPr>
        <w:spacing w:line="240" w:lineRule="auto"/>
        <w:jc w:val="both"/>
        <w:rPr>
          <w:rFonts w:ascii="Times New Roman" w:hAnsi="Times New Roman"/>
          <w:b/>
          <w:bCs/>
        </w:rPr>
      </w:pPr>
    </w:p>
    <w:p w14:paraId="15421D85" w14:textId="77777777" w:rsidR="00EF4B1F" w:rsidRPr="00EF4B1F" w:rsidRDefault="00EF4B1F" w:rsidP="00EF4B1F">
      <w:pPr>
        <w:spacing w:line="240" w:lineRule="auto"/>
        <w:jc w:val="both"/>
        <w:rPr>
          <w:rFonts w:ascii="Times New Roman" w:hAnsi="Times New Roman"/>
          <w:b/>
          <w:bCs/>
        </w:rPr>
      </w:pPr>
    </w:p>
    <w:p w14:paraId="73068ADA" w14:textId="77777777" w:rsidR="00EF4B1F" w:rsidRPr="00EF4B1F" w:rsidRDefault="00EF4B1F" w:rsidP="00EF4B1F">
      <w:pPr>
        <w:spacing w:line="240" w:lineRule="auto"/>
        <w:jc w:val="both"/>
        <w:rPr>
          <w:rFonts w:ascii="Times New Roman" w:hAnsi="Times New Roman"/>
          <w:b/>
          <w:bCs/>
        </w:rPr>
      </w:pPr>
    </w:p>
    <w:p w14:paraId="5B9279CE" w14:textId="77777777" w:rsidR="00EF4B1F" w:rsidRPr="00EF4B1F" w:rsidRDefault="00EF4B1F" w:rsidP="00EF4B1F">
      <w:pPr>
        <w:spacing w:line="240" w:lineRule="auto"/>
        <w:jc w:val="both"/>
        <w:rPr>
          <w:rFonts w:ascii="Times New Roman" w:hAnsi="Times New Roman"/>
          <w:b/>
          <w:bCs/>
        </w:rPr>
      </w:pPr>
    </w:p>
    <w:p w14:paraId="47E53510" w14:textId="36A1A1B5" w:rsidR="00EF4B1F" w:rsidRPr="00EF4B1F" w:rsidRDefault="00EF4B1F" w:rsidP="00EF4B1F">
      <w:pPr>
        <w:spacing w:line="240" w:lineRule="auto"/>
        <w:jc w:val="both"/>
        <w:rPr>
          <w:rFonts w:ascii="Times New Roman" w:hAnsi="Times New Roman"/>
          <w:b/>
          <w:bCs/>
        </w:rPr>
      </w:pPr>
      <w:r w:rsidRPr="00EF4B1F">
        <w:rPr>
          <w:rFonts w:ascii="Times New Roman" w:hAnsi="Times New Roman"/>
          <w:b/>
          <w:bCs/>
        </w:rPr>
        <w:lastRenderedPageBreak/>
        <w:t>2.2. OBRAZLOŽENJE POSEBNOG DIJELA IZVJEŠTAJA O IZVRŠENJU PRORAČUNA</w:t>
      </w:r>
    </w:p>
    <w:p w14:paraId="3446FFA7" w14:textId="77777777" w:rsidR="00EF4B1F" w:rsidRPr="00EF4B1F" w:rsidRDefault="00EF4B1F" w:rsidP="00EF4B1F">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b/>
          <w:i/>
          <w:lang w:eastAsia="en-US"/>
          <w14:ligatures w14:val="standardContextual"/>
        </w:rPr>
        <w:t>Razdjel je</w:t>
      </w:r>
      <w:r w:rsidRPr="00EF4B1F">
        <w:rPr>
          <w:rFonts w:ascii="Times New Roman" w:eastAsiaTheme="minorHAnsi" w:hAnsi="Times New Roman"/>
          <w:lang w:eastAsia="en-US"/>
          <w14:ligatures w14:val="standardContextual"/>
        </w:rPr>
        <w:t xml:space="preserve">, sukladno Pravilniku o proračunskim klasifikacijama, organizacijska razina utvrđena za potrebe planiranja i izvršavanja proračuna, a sastoji se od jedne ili više glava. </w:t>
      </w:r>
    </w:p>
    <w:p w14:paraId="22CA871B" w14:textId="77777777" w:rsidR="00EF4B1F" w:rsidRPr="00EF4B1F" w:rsidRDefault="00EF4B1F" w:rsidP="00EF4B1F">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4EADDDB1" w14:textId="77777777" w:rsidR="00EF4B1F" w:rsidRPr="00EF4B1F" w:rsidRDefault="00EF4B1F" w:rsidP="00EF4B1F">
      <w:pPr>
        <w:spacing w:after="0" w:line="240" w:lineRule="auto"/>
        <w:jc w:val="both"/>
        <w:rPr>
          <w:rFonts w:ascii="Times New Roman" w:eastAsiaTheme="minorHAnsi" w:hAnsi="Times New Roman"/>
          <w:lang w:eastAsia="en-US"/>
          <w14:ligatures w14:val="standardContextual"/>
        </w:rPr>
      </w:pPr>
    </w:p>
    <w:p w14:paraId="7F1EA2B1" w14:textId="77777777" w:rsidR="00EF4B1F" w:rsidRPr="00EF4B1F" w:rsidRDefault="00EF4B1F" w:rsidP="00EF4B1F">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Sukladno gore citiranom Pravilniku, Proračun Općine Cerna sukladno Pravilniku o proračunskim klasifikacijama  strukturiran je s tri razdjela: </w:t>
      </w:r>
    </w:p>
    <w:p w14:paraId="555466DF" w14:textId="77777777" w:rsidR="00EF4B1F" w:rsidRPr="00EF4B1F"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Općinsko vijeće,</w:t>
      </w:r>
    </w:p>
    <w:p w14:paraId="21FB5B8B" w14:textId="77777777" w:rsidR="00EF4B1F" w:rsidRPr="00EF4B1F"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Općinski načelnik i </w:t>
      </w:r>
    </w:p>
    <w:p w14:paraId="42F3B7DE" w14:textId="77777777" w:rsidR="00EF4B1F" w:rsidRPr="00EF4B1F"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Jedinstveni upravni odjel</w:t>
      </w:r>
    </w:p>
    <w:p w14:paraId="1AE1875B" w14:textId="77777777" w:rsidR="00EF4B1F" w:rsidRPr="00EF4B1F" w:rsidRDefault="00EF4B1F" w:rsidP="00EF4B1F">
      <w:pPr>
        <w:spacing w:after="0" w:line="240" w:lineRule="auto"/>
        <w:ind w:right="70"/>
        <w:jc w:val="both"/>
        <w:rPr>
          <w:rFonts w:ascii="Times New Roman" w:eastAsiaTheme="minorHAnsi" w:hAnsi="Times New Roman"/>
          <w:b/>
          <w:i/>
          <w:lang w:eastAsia="en-US"/>
          <w14:ligatures w14:val="standardContextual"/>
        </w:rPr>
      </w:pPr>
    </w:p>
    <w:p w14:paraId="59128161" w14:textId="77777777" w:rsidR="00EF4B1F" w:rsidRPr="00EF4B1F" w:rsidRDefault="00EF4B1F" w:rsidP="00EF4B1F">
      <w:pPr>
        <w:spacing w:after="0" w:line="240" w:lineRule="auto"/>
        <w:jc w:val="both"/>
        <w:rPr>
          <w:rFonts w:ascii="Times New Roman" w:eastAsiaTheme="minorHAnsi" w:hAnsi="Times New Roman"/>
          <w:lang w:eastAsia="en-GB"/>
          <w14:ligatures w14:val="standardContextual"/>
        </w:rPr>
      </w:pPr>
      <w:r w:rsidRPr="00EF4B1F">
        <w:rPr>
          <w:rFonts w:ascii="Times New Roman" w:eastAsiaTheme="minorHAnsi" w:hAnsi="Times New Roman"/>
          <w:b/>
          <w:i/>
          <w:lang w:eastAsia="en-US"/>
          <w14:ligatures w14:val="standardContextual"/>
        </w:rPr>
        <w:t>Programska klasifikacija</w:t>
      </w:r>
      <w:r w:rsidRPr="00EF4B1F">
        <w:rPr>
          <w:rFonts w:ascii="Times New Roman" w:eastAsiaTheme="minorHAnsi" w:hAnsi="Times New Roman"/>
          <w:lang w:eastAsia="en-US"/>
          <w14:ligatures w14:val="standardContextual"/>
        </w:rPr>
        <w:t xml:space="preserve"> uspostavlja se definiranjem programa, aktivnosti i projekata. </w:t>
      </w:r>
      <w:r w:rsidRPr="00EF4B1F">
        <w:rPr>
          <w:rFonts w:ascii="Times New Roman" w:eastAsiaTheme="minorHAnsi" w:hAnsi="Times New Roman"/>
          <w:color w:val="000000"/>
          <w:lang w:eastAsia="en-GB"/>
          <w14:ligatures w14:val="standardContextual"/>
        </w:rPr>
        <w:t>Program je skup neovisnih, usko povezanih aktivnosti i projekata usmjerenih ispunjenju zajedničkog cilja.</w:t>
      </w:r>
      <w:r w:rsidRPr="00EF4B1F">
        <w:rPr>
          <w:rFonts w:ascii="Times New Roman" w:eastAsiaTheme="minorHAnsi" w:hAnsi="Times New Roman"/>
          <w:lang w:eastAsia="en-GB"/>
          <w14:ligatures w14:val="standardContextual"/>
        </w:rPr>
        <w:t xml:space="preserve"> </w:t>
      </w:r>
      <w:r w:rsidRPr="00EF4B1F">
        <w:rPr>
          <w:rFonts w:ascii="Times New Roman" w:eastAsiaTheme="minorHAnsi" w:hAnsi="Times New Roman"/>
          <w:color w:val="000000"/>
          <w:lang w:eastAsia="en-GB"/>
          <w14:ligatures w14:val="standardContextual"/>
        </w:rPr>
        <w:t>Program se sastoji od jedne ili više aktivnosti i/ili projekata, a aktivnost i projekt pripadaju samo jednom programu.</w:t>
      </w:r>
    </w:p>
    <w:p w14:paraId="35FA3F7B" w14:textId="77777777" w:rsidR="00EF4B1F" w:rsidRPr="00EF4B1F" w:rsidRDefault="00EF4B1F" w:rsidP="00EF4B1F">
      <w:pPr>
        <w:spacing w:after="160" w:line="240" w:lineRule="auto"/>
        <w:jc w:val="both"/>
        <w:rPr>
          <w:rFonts w:ascii="Times New Roman" w:eastAsiaTheme="minorHAnsi" w:hAnsi="Times New Roman"/>
          <w:lang w:eastAsia="en-US"/>
          <w14:ligatures w14:val="standardContextual"/>
        </w:rPr>
      </w:pPr>
    </w:p>
    <w:p w14:paraId="387607B7" w14:textId="77777777" w:rsidR="00935AE9" w:rsidRPr="00935AE9" w:rsidRDefault="00935AE9" w:rsidP="00935AE9">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OPĆINSKO VIJEĆE</w:t>
      </w:r>
    </w:p>
    <w:p w14:paraId="2312C87B" w14:textId="77777777" w:rsidR="00935AE9" w:rsidRPr="00935AE9" w:rsidRDefault="00935AE9" w:rsidP="00935AE9">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Program1001: Priprema i donošenje akata iz djelokruga predstavničkog tijela</w:t>
      </w:r>
    </w:p>
    <w:p w14:paraId="22A1D7B9" w14:textId="77777777" w:rsidR="00935AE9" w:rsidRPr="00935AE9" w:rsidRDefault="00935AE9" w:rsidP="00935AE9">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koje omogućuju obavljanje poslova Općinskog vijeća, naknadu za predsjednika vijeća, te reprezentaciju. </w:t>
      </w:r>
    </w:p>
    <w:p w14:paraId="35DDA129" w14:textId="77777777" w:rsidR="00935AE9" w:rsidRPr="00935AE9" w:rsidRDefault="00935AE9" w:rsidP="00935AE9">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 programa:</w:t>
      </w:r>
    </w:p>
    <w:p w14:paraId="127C6A47" w14:textId="77777777" w:rsidR="00935AE9" w:rsidRPr="00935AE9" w:rsidRDefault="00935AE9" w:rsidP="00935AE9">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održanih sjednica Općinskog vijeća u tijeku godine</w:t>
      </w:r>
    </w:p>
    <w:p w14:paraId="4A05EB1A" w14:textId="77777777" w:rsidR="00935AE9" w:rsidRPr="00935AE9" w:rsidRDefault="00935AE9" w:rsidP="00935AE9">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2023. godini planirana su u iznosu 3.981,69 €, a u izvještajnom razdoblju ostvarena su u iznosu 3.134,24 €.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314CF99E" w14:textId="77777777" w:rsidTr="00127F02">
        <w:trPr>
          <w:trHeight w:val="582"/>
        </w:trPr>
        <w:tc>
          <w:tcPr>
            <w:tcW w:w="1738" w:type="dxa"/>
          </w:tcPr>
          <w:p w14:paraId="60191EF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3EC58707"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3AD9F235"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562DACDA"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68877A87" w14:textId="77777777" w:rsidTr="00127F02">
        <w:trPr>
          <w:trHeight w:val="1482"/>
        </w:trPr>
        <w:tc>
          <w:tcPr>
            <w:tcW w:w="1738" w:type="dxa"/>
          </w:tcPr>
          <w:p w14:paraId="7110F4BE"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P1001 </w:t>
            </w:r>
          </w:p>
        </w:tc>
        <w:tc>
          <w:tcPr>
            <w:tcW w:w="2522" w:type="dxa"/>
          </w:tcPr>
          <w:p w14:paraId="328A0EC4"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Priprema i donošenje akata iz djelokruga predstavničkog tijela</w:t>
            </w:r>
          </w:p>
        </w:tc>
        <w:tc>
          <w:tcPr>
            <w:tcW w:w="2415" w:type="dxa"/>
          </w:tcPr>
          <w:p w14:paraId="756544D9"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3.981,69</w:t>
            </w:r>
          </w:p>
        </w:tc>
        <w:tc>
          <w:tcPr>
            <w:tcW w:w="2427" w:type="dxa"/>
          </w:tcPr>
          <w:p w14:paraId="490F3C4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3.134,24</w:t>
            </w:r>
          </w:p>
        </w:tc>
      </w:tr>
      <w:tr w:rsidR="00935AE9" w:rsidRPr="00935AE9" w14:paraId="379CC215" w14:textId="77777777" w:rsidTr="00127F02">
        <w:trPr>
          <w:trHeight w:val="582"/>
        </w:trPr>
        <w:tc>
          <w:tcPr>
            <w:tcW w:w="1738" w:type="dxa"/>
          </w:tcPr>
          <w:p w14:paraId="307482FB"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A100101</w:t>
            </w:r>
          </w:p>
        </w:tc>
        <w:tc>
          <w:tcPr>
            <w:tcW w:w="2522" w:type="dxa"/>
          </w:tcPr>
          <w:p w14:paraId="00D1AD48"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rad općinskog vijeća</w:t>
            </w:r>
          </w:p>
        </w:tc>
        <w:tc>
          <w:tcPr>
            <w:tcW w:w="2415" w:type="dxa"/>
          </w:tcPr>
          <w:p w14:paraId="06F14B5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3.981,69</w:t>
            </w:r>
          </w:p>
        </w:tc>
        <w:tc>
          <w:tcPr>
            <w:tcW w:w="2427" w:type="dxa"/>
          </w:tcPr>
          <w:p w14:paraId="71E34A0D"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3.134,24</w:t>
            </w:r>
          </w:p>
        </w:tc>
      </w:tr>
    </w:tbl>
    <w:p w14:paraId="13CE6A56"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70D21C63"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4797F62E"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2BCC1210"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4EDDB100"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6B3358B6" w14:textId="77777777" w:rsidR="00935AE9" w:rsidRPr="00935AE9" w:rsidRDefault="00935AE9" w:rsidP="00935AE9">
      <w:pPr>
        <w:spacing w:after="160" w:line="259"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lastRenderedPageBreak/>
        <w:t>OPĆINSKI NAČELNIK</w:t>
      </w:r>
    </w:p>
    <w:p w14:paraId="2BDF2C57" w14:textId="77777777" w:rsidR="00935AE9" w:rsidRPr="00935AE9" w:rsidRDefault="00935AE9" w:rsidP="00935AE9">
      <w:pPr>
        <w:spacing w:after="160" w:line="259" w:lineRule="auto"/>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 xml:space="preserve">Program 1002: Priprema, donošenje i provedba akata i mjera iz djelokruga izvršnih tijela </w:t>
      </w:r>
    </w:p>
    <w:p w14:paraId="2BB4C093" w14:textId="77777777" w:rsidR="00935AE9" w:rsidRPr="00935AE9" w:rsidRDefault="00935AE9" w:rsidP="00935AE9">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504C9F5E" w14:textId="77777777" w:rsidR="00935AE9" w:rsidRPr="00935AE9" w:rsidRDefault="00935AE9" w:rsidP="00935AE9">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 programa:</w:t>
      </w:r>
    </w:p>
    <w:p w14:paraId="268ABC6E" w14:textId="77777777" w:rsidR="00935AE9" w:rsidRPr="00935AE9" w:rsidRDefault="00935AE9" w:rsidP="00935AE9">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donesenih akata od strane općinskog načelnika (pravodobnost donošenja i usklađivanja  općih akata sa zakonom),</w:t>
      </w:r>
    </w:p>
    <w:p w14:paraId="336B954A" w14:textId="77777777" w:rsidR="00935AE9" w:rsidRPr="00935AE9" w:rsidRDefault="00935AE9" w:rsidP="00935AE9">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aktivnih sudionika u procesu donošenja općinskih akata (izvršavanje zakonskih obveza te obveza proizišlih iz općih akata općine)</w:t>
      </w:r>
    </w:p>
    <w:p w14:paraId="414AFCBE" w14:textId="77777777" w:rsidR="00935AE9" w:rsidRPr="00935AE9" w:rsidRDefault="00935AE9" w:rsidP="00935AE9">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2023. godini planirana su u iznosu od 53.498,29 €, a u izvještajnom razdoblju su ostvarena u iznosu 45.889,77 €.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340A755D" w14:textId="77777777" w:rsidTr="00127F02">
        <w:trPr>
          <w:trHeight w:val="582"/>
        </w:trPr>
        <w:tc>
          <w:tcPr>
            <w:tcW w:w="1738" w:type="dxa"/>
          </w:tcPr>
          <w:p w14:paraId="74CEDC16"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3EDE3ABE"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6E806383"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4E768649"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15FE7DEC" w14:textId="77777777" w:rsidTr="00127F02">
        <w:trPr>
          <w:trHeight w:val="1482"/>
        </w:trPr>
        <w:tc>
          <w:tcPr>
            <w:tcW w:w="1738" w:type="dxa"/>
          </w:tcPr>
          <w:p w14:paraId="10453845"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P1002</w:t>
            </w:r>
          </w:p>
        </w:tc>
        <w:tc>
          <w:tcPr>
            <w:tcW w:w="2522" w:type="dxa"/>
          </w:tcPr>
          <w:p w14:paraId="4A8C6D7B"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Priprema, donošenje i provedba akata i mjera iz djelokruga izvršnih tijela</w:t>
            </w:r>
          </w:p>
        </w:tc>
        <w:tc>
          <w:tcPr>
            <w:tcW w:w="2415" w:type="dxa"/>
          </w:tcPr>
          <w:p w14:paraId="0850ED4A"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53.498,29</w:t>
            </w:r>
          </w:p>
        </w:tc>
        <w:tc>
          <w:tcPr>
            <w:tcW w:w="2427" w:type="dxa"/>
          </w:tcPr>
          <w:p w14:paraId="23ABEF0D"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45.889,77</w:t>
            </w:r>
          </w:p>
        </w:tc>
      </w:tr>
      <w:tr w:rsidR="00935AE9" w:rsidRPr="00935AE9" w14:paraId="3FC81453" w14:textId="77777777" w:rsidTr="00127F02">
        <w:trPr>
          <w:trHeight w:val="582"/>
        </w:trPr>
        <w:tc>
          <w:tcPr>
            <w:tcW w:w="1738" w:type="dxa"/>
          </w:tcPr>
          <w:p w14:paraId="5F31830D"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A100104</w:t>
            </w:r>
          </w:p>
        </w:tc>
        <w:tc>
          <w:tcPr>
            <w:tcW w:w="2522" w:type="dxa"/>
          </w:tcPr>
          <w:p w14:paraId="097D6C08"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Rad ureda načelnika</w:t>
            </w:r>
          </w:p>
        </w:tc>
        <w:tc>
          <w:tcPr>
            <w:tcW w:w="2415" w:type="dxa"/>
          </w:tcPr>
          <w:p w14:paraId="2BA62E5F"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46.862,15</w:t>
            </w:r>
          </w:p>
        </w:tc>
        <w:tc>
          <w:tcPr>
            <w:tcW w:w="2427" w:type="dxa"/>
          </w:tcPr>
          <w:p w14:paraId="214DC695"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45.889,77</w:t>
            </w:r>
          </w:p>
        </w:tc>
      </w:tr>
      <w:tr w:rsidR="00935AE9" w:rsidRPr="00935AE9" w14:paraId="6E429AE6" w14:textId="77777777" w:rsidTr="00127F02">
        <w:trPr>
          <w:trHeight w:val="582"/>
        </w:trPr>
        <w:tc>
          <w:tcPr>
            <w:tcW w:w="1738" w:type="dxa"/>
          </w:tcPr>
          <w:p w14:paraId="79C097F4"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A100105</w:t>
            </w:r>
          </w:p>
        </w:tc>
        <w:tc>
          <w:tcPr>
            <w:tcW w:w="2522" w:type="dxa"/>
          </w:tcPr>
          <w:p w14:paraId="6C9269BE"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Tekuća zaliha proračuna</w:t>
            </w:r>
          </w:p>
        </w:tc>
        <w:tc>
          <w:tcPr>
            <w:tcW w:w="2415" w:type="dxa"/>
          </w:tcPr>
          <w:p w14:paraId="47EF92D6"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6.636,14</w:t>
            </w:r>
          </w:p>
        </w:tc>
        <w:tc>
          <w:tcPr>
            <w:tcW w:w="2427" w:type="dxa"/>
          </w:tcPr>
          <w:p w14:paraId="4CE0FC79"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bl>
    <w:p w14:paraId="0C3D6DCE"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2BAA423E"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3DBC0629"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7145313A"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067E7237"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3BF04A13"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0C56872F"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6E8CC61A"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2998BDD8"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63B7DE9C"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1FE3EA07"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3CF50C79"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06D8B8A9" w14:textId="1062E4ED" w:rsidR="00935AE9" w:rsidRPr="00935AE9" w:rsidRDefault="00935AE9" w:rsidP="00935AE9">
      <w:pPr>
        <w:spacing w:after="160" w:line="259"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lastRenderedPageBreak/>
        <w:t>JEDINSTVENI UPRAVNI ODJEL</w:t>
      </w:r>
    </w:p>
    <w:p w14:paraId="4330CE63"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1003: Mjere i aktivnosti za osiguranje rada iz djelokruga jedinstvenog upravnog odijela</w:t>
      </w:r>
    </w:p>
    <w:p w14:paraId="426A962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0E0E494E"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551EFC97"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riješenih predmeta u tijeku godine</w:t>
      </w:r>
    </w:p>
    <w:p w14:paraId="20CD2318"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2023. godini planirana su u iznosu od 441.352,22 €, a ostvarena u izvještajnom razdoblju u iznosu 375.692,81 €.</w:t>
      </w:r>
    </w:p>
    <w:p w14:paraId="78C81B5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7F7BCA2A" w14:textId="77777777" w:rsidTr="00127F02">
        <w:trPr>
          <w:trHeight w:val="582"/>
        </w:trPr>
        <w:tc>
          <w:tcPr>
            <w:tcW w:w="1738" w:type="dxa"/>
          </w:tcPr>
          <w:p w14:paraId="2FCCFD3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661A29E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4C73CDF"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3A76ED56"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48908771" w14:textId="77777777" w:rsidTr="00127F02">
        <w:trPr>
          <w:trHeight w:val="1482"/>
        </w:trPr>
        <w:tc>
          <w:tcPr>
            <w:tcW w:w="1738" w:type="dxa"/>
          </w:tcPr>
          <w:p w14:paraId="4B07A9DD"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P1002</w:t>
            </w:r>
          </w:p>
        </w:tc>
        <w:tc>
          <w:tcPr>
            <w:tcW w:w="2522" w:type="dxa"/>
          </w:tcPr>
          <w:p w14:paraId="000C5FD3"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Mjere i aktivnosti za osiguranje rada iz djelokruga jedinstvenog upravnog odijela</w:t>
            </w:r>
          </w:p>
          <w:p w14:paraId="75C4E1A3"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p>
        </w:tc>
        <w:tc>
          <w:tcPr>
            <w:tcW w:w="2415" w:type="dxa"/>
          </w:tcPr>
          <w:p w14:paraId="1D112F1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441.352,22</w:t>
            </w:r>
          </w:p>
        </w:tc>
        <w:tc>
          <w:tcPr>
            <w:tcW w:w="2427" w:type="dxa"/>
          </w:tcPr>
          <w:p w14:paraId="3747623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375.692,81</w:t>
            </w:r>
          </w:p>
        </w:tc>
      </w:tr>
      <w:tr w:rsidR="00935AE9" w:rsidRPr="00935AE9" w14:paraId="0A90EAAF" w14:textId="77777777" w:rsidTr="00127F02">
        <w:trPr>
          <w:trHeight w:val="582"/>
        </w:trPr>
        <w:tc>
          <w:tcPr>
            <w:tcW w:w="1738" w:type="dxa"/>
          </w:tcPr>
          <w:p w14:paraId="6BA8C64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A100106</w:t>
            </w:r>
          </w:p>
        </w:tc>
        <w:tc>
          <w:tcPr>
            <w:tcW w:w="2522" w:type="dxa"/>
          </w:tcPr>
          <w:p w14:paraId="44CA7B0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Administrativno, tehničko i stručno osoblje JUO</w:t>
            </w:r>
          </w:p>
        </w:tc>
        <w:tc>
          <w:tcPr>
            <w:tcW w:w="2415" w:type="dxa"/>
          </w:tcPr>
          <w:p w14:paraId="26DEF6C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105.627,15</w:t>
            </w:r>
          </w:p>
        </w:tc>
        <w:tc>
          <w:tcPr>
            <w:tcW w:w="2427" w:type="dxa"/>
          </w:tcPr>
          <w:p w14:paraId="52AE7A2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89.879,77</w:t>
            </w:r>
          </w:p>
        </w:tc>
      </w:tr>
      <w:tr w:rsidR="00935AE9" w:rsidRPr="00935AE9" w14:paraId="372C365F" w14:textId="77777777" w:rsidTr="00127F02">
        <w:trPr>
          <w:trHeight w:val="582"/>
        </w:trPr>
        <w:tc>
          <w:tcPr>
            <w:tcW w:w="1738" w:type="dxa"/>
          </w:tcPr>
          <w:p w14:paraId="7487FE1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A100107</w:t>
            </w:r>
          </w:p>
        </w:tc>
        <w:tc>
          <w:tcPr>
            <w:tcW w:w="2522" w:type="dxa"/>
          </w:tcPr>
          <w:p w14:paraId="202C5D6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Redoviti troškovi poslovanja javne uprave i administracije</w:t>
            </w:r>
          </w:p>
        </w:tc>
        <w:tc>
          <w:tcPr>
            <w:tcW w:w="2415" w:type="dxa"/>
          </w:tcPr>
          <w:p w14:paraId="6107FB2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265.204,90</w:t>
            </w:r>
          </w:p>
        </w:tc>
        <w:tc>
          <w:tcPr>
            <w:tcW w:w="2427" w:type="dxa"/>
          </w:tcPr>
          <w:p w14:paraId="0A3BE77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234.592,46</w:t>
            </w:r>
          </w:p>
        </w:tc>
      </w:tr>
      <w:tr w:rsidR="00935AE9" w:rsidRPr="00935AE9" w14:paraId="315FFE81" w14:textId="77777777" w:rsidTr="00127F02">
        <w:trPr>
          <w:trHeight w:val="582"/>
        </w:trPr>
        <w:tc>
          <w:tcPr>
            <w:tcW w:w="1738" w:type="dxa"/>
          </w:tcPr>
          <w:p w14:paraId="362EA87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A100163</w:t>
            </w:r>
          </w:p>
        </w:tc>
        <w:tc>
          <w:tcPr>
            <w:tcW w:w="2522" w:type="dxa"/>
          </w:tcPr>
          <w:p w14:paraId="3700A6E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Otplata robnog zajma – ulaganje u stambeni objekt  </w:t>
            </w:r>
          </w:p>
        </w:tc>
        <w:tc>
          <w:tcPr>
            <w:tcW w:w="2415" w:type="dxa"/>
          </w:tcPr>
          <w:p w14:paraId="2F10D4E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606,71</w:t>
            </w:r>
          </w:p>
        </w:tc>
        <w:tc>
          <w:tcPr>
            <w:tcW w:w="2427" w:type="dxa"/>
          </w:tcPr>
          <w:p w14:paraId="33C5411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540,34</w:t>
            </w:r>
          </w:p>
        </w:tc>
      </w:tr>
      <w:tr w:rsidR="00935AE9" w:rsidRPr="00935AE9" w14:paraId="25DBD508" w14:textId="77777777" w:rsidTr="00127F02">
        <w:trPr>
          <w:trHeight w:val="582"/>
        </w:trPr>
        <w:tc>
          <w:tcPr>
            <w:tcW w:w="1738" w:type="dxa"/>
          </w:tcPr>
          <w:p w14:paraId="4AB3763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K100168</w:t>
            </w:r>
          </w:p>
        </w:tc>
        <w:tc>
          <w:tcPr>
            <w:tcW w:w="2522" w:type="dxa"/>
          </w:tcPr>
          <w:p w14:paraId="61CA6C7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Otplata kreditnog zaduženja za rekonstrukciju kolnika u ul. Mala Cerna</w:t>
            </w:r>
          </w:p>
        </w:tc>
        <w:tc>
          <w:tcPr>
            <w:tcW w:w="2415" w:type="dxa"/>
          </w:tcPr>
          <w:p w14:paraId="2DB0580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69.913,46</w:t>
            </w:r>
          </w:p>
        </w:tc>
        <w:tc>
          <w:tcPr>
            <w:tcW w:w="2427" w:type="dxa"/>
          </w:tcPr>
          <w:p w14:paraId="612D672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50.680,24</w:t>
            </w:r>
          </w:p>
        </w:tc>
      </w:tr>
    </w:tbl>
    <w:p w14:paraId="7D8869C5"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754EB0E9"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48C020FB"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37589C1D"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4F74FF23"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25809B75"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66E5CEB5"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 xml:space="preserve">Program 1004:  Izdvojeni komunalni pogon </w:t>
      </w:r>
    </w:p>
    <w:p w14:paraId="1937DD88"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Opis i cilj programa: Programom se osiguravaju sredstva za plaće komunalnih radnika kojima je u opisu posla održavanje javnih površina i sl. Program također obuhvaća i opremu za održavanje komunalne infrastrukture.</w:t>
      </w:r>
    </w:p>
    <w:p w14:paraId="0F3A73D7"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 uspješnosti:</w:t>
      </w:r>
    </w:p>
    <w:p w14:paraId="507AB2E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nabavljene opreme za održavanje</w:t>
      </w:r>
    </w:p>
    <w:p w14:paraId="0E2D4F49"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u 2023. godini planirana su sredstva u iznosu od ukupno 86.604,40 € a u izvještajnom razdoblju su ostvarena u iznosu 61.703,18 €.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28A66949" w14:textId="77777777" w:rsidTr="00127F02">
        <w:trPr>
          <w:trHeight w:val="582"/>
        </w:trPr>
        <w:tc>
          <w:tcPr>
            <w:tcW w:w="1738" w:type="dxa"/>
          </w:tcPr>
          <w:p w14:paraId="7B476C6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E17615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61FD6AD1"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51F7C0A5"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09736750" w14:textId="77777777" w:rsidTr="00127F02">
        <w:trPr>
          <w:trHeight w:val="1482"/>
        </w:trPr>
        <w:tc>
          <w:tcPr>
            <w:tcW w:w="1738" w:type="dxa"/>
          </w:tcPr>
          <w:p w14:paraId="1321EC37"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P1004</w:t>
            </w:r>
          </w:p>
        </w:tc>
        <w:tc>
          <w:tcPr>
            <w:tcW w:w="2522" w:type="dxa"/>
          </w:tcPr>
          <w:p w14:paraId="176FB387"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Izdvojeni komunalni pogon</w:t>
            </w:r>
          </w:p>
        </w:tc>
        <w:tc>
          <w:tcPr>
            <w:tcW w:w="2415" w:type="dxa"/>
          </w:tcPr>
          <w:p w14:paraId="334708B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86.604,40</w:t>
            </w:r>
          </w:p>
        </w:tc>
        <w:tc>
          <w:tcPr>
            <w:tcW w:w="2427" w:type="dxa"/>
          </w:tcPr>
          <w:p w14:paraId="47259FE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61.703,18</w:t>
            </w:r>
          </w:p>
        </w:tc>
      </w:tr>
      <w:tr w:rsidR="00935AE9" w:rsidRPr="00935AE9" w14:paraId="13B348B5" w14:textId="77777777" w:rsidTr="00127F02">
        <w:trPr>
          <w:trHeight w:val="582"/>
        </w:trPr>
        <w:tc>
          <w:tcPr>
            <w:tcW w:w="1738" w:type="dxa"/>
          </w:tcPr>
          <w:p w14:paraId="2B4F231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A100109</w:t>
            </w:r>
          </w:p>
        </w:tc>
        <w:tc>
          <w:tcPr>
            <w:tcW w:w="2522" w:type="dxa"/>
          </w:tcPr>
          <w:p w14:paraId="1602A1B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Komunalni pogon</w:t>
            </w:r>
          </w:p>
        </w:tc>
        <w:tc>
          <w:tcPr>
            <w:tcW w:w="2415" w:type="dxa"/>
          </w:tcPr>
          <w:p w14:paraId="7E03D52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75.068,26</w:t>
            </w:r>
          </w:p>
        </w:tc>
        <w:tc>
          <w:tcPr>
            <w:tcW w:w="2427" w:type="dxa"/>
          </w:tcPr>
          <w:p w14:paraId="741639C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55.707,12</w:t>
            </w:r>
          </w:p>
        </w:tc>
      </w:tr>
      <w:tr w:rsidR="00935AE9" w:rsidRPr="00935AE9" w14:paraId="51485D38" w14:textId="77777777" w:rsidTr="00127F02">
        <w:trPr>
          <w:trHeight w:val="582"/>
        </w:trPr>
        <w:tc>
          <w:tcPr>
            <w:tcW w:w="1738" w:type="dxa"/>
          </w:tcPr>
          <w:p w14:paraId="5FF9114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A100107</w:t>
            </w:r>
          </w:p>
        </w:tc>
        <w:tc>
          <w:tcPr>
            <w:tcW w:w="2522" w:type="dxa"/>
          </w:tcPr>
          <w:p w14:paraId="7117F21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Nabava opreme za održavanje komunalne infrastrukture</w:t>
            </w:r>
          </w:p>
        </w:tc>
        <w:tc>
          <w:tcPr>
            <w:tcW w:w="2415" w:type="dxa"/>
          </w:tcPr>
          <w:p w14:paraId="3EAEF90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11.536,14</w:t>
            </w:r>
          </w:p>
        </w:tc>
        <w:tc>
          <w:tcPr>
            <w:tcW w:w="2427" w:type="dxa"/>
          </w:tcPr>
          <w:p w14:paraId="5995577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5.996,06</w:t>
            </w:r>
          </w:p>
        </w:tc>
      </w:tr>
    </w:tbl>
    <w:p w14:paraId="602D1F02"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3E0B7E9F"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1005: Održavanje objekata i uređaja komunalne infrastrukture</w:t>
      </w:r>
    </w:p>
    <w:p w14:paraId="5A056D0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tekućeg održavanja javne rasvjete, javnih površina, nerazvrstanih cesta i groblja, sanaciju poljskih puteva te nabavu komunalne opreme.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1D33B800"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održavanja komunalne infrastrukture u 2023. godini planirana su u iznosu od 200.707,52 €, a ostvarena u izvještajnom razdoblju u iznosu 183.965,51 €.</w:t>
      </w:r>
    </w:p>
    <w:p w14:paraId="64269C68"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Pokazatelji uspješnosti: </w:t>
      </w:r>
    </w:p>
    <w:p w14:paraId="384B3BC4"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živinih žarulja u odnosu na broj natrijevih ili led žarulja kod javne rasvjete</w:t>
      </w:r>
    </w:p>
    <w:p w14:paraId="39409CF4"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nerazvrstanih cesta s utvrđenim oštećenjem kolnika/broj potrebnih sanacija</w:t>
      </w:r>
    </w:p>
    <w:p w14:paraId="7ED212CE"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površina uređenih i održavanih javnih površina (ha)</w:t>
      </w:r>
    </w:p>
    <w:p w14:paraId="5C2864B1" w14:textId="77777777" w:rsid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potrebnih intervencija na grobljima/broj izvršenih radova.</w:t>
      </w:r>
    </w:p>
    <w:p w14:paraId="7D60D972" w14:textId="77777777" w:rsidR="00935AE9" w:rsidRDefault="00935AE9" w:rsidP="00982FF1">
      <w:pPr>
        <w:spacing w:after="160" w:line="259" w:lineRule="auto"/>
        <w:jc w:val="both"/>
        <w:rPr>
          <w:rFonts w:ascii="Times New Roman" w:eastAsiaTheme="minorHAnsi" w:hAnsi="Times New Roman"/>
          <w:lang w:eastAsia="en-US"/>
          <w14:ligatures w14:val="standardContextual"/>
        </w:rPr>
      </w:pPr>
    </w:p>
    <w:p w14:paraId="41D1BF5A"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6A2A3A35" w14:textId="77777777" w:rsidTr="00127F02">
        <w:trPr>
          <w:trHeight w:val="582"/>
        </w:trPr>
        <w:tc>
          <w:tcPr>
            <w:tcW w:w="1738" w:type="dxa"/>
          </w:tcPr>
          <w:p w14:paraId="14ABBDE2"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bookmarkStart w:id="0" w:name="_Hlk167790614"/>
          </w:p>
        </w:tc>
        <w:tc>
          <w:tcPr>
            <w:tcW w:w="2522" w:type="dxa"/>
          </w:tcPr>
          <w:p w14:paraId="1BA049F1"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6F4156EC"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38B09AAA"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4A276FC3" w14:textId="77777777" w:rsidTr="00127F02">
        <w:trPr>
          <w:trHeight w:val="1482"/>
        </w:trPr>
        <w:tc>
          <w:tcPr>
            <w:tcW w:w="1738" w:type="dxa"/>
          </w:tcPr>
          <w:p w14:paraId="7107E3E9"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P1005</w:t>
            </w:r>
          </w:p>
        </w:tc>
        <w:tc>
          <w:tcPr>
            <w:tcW w:w="2522" w:type="dxa"/>
          </w:tcPr>
          <w:p w14:paraId="56BF479F"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Održavanje objekata i uređaja komunalne infrastrukture</w:t>
            </w:r>
          </w:p>
        </w:tc>
        <w:tc>
          <w:tcPr>
            <w:tcW w:w="2415" w:type="dxa"/>
          </w:tcPr>
          <w:p w14:paraId="032B80D9"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200.707,52</w:t>
            </w:r>
          </w:p>
        </w:tc>
        <w:tc>
          <w:tcPr>
            <w:tcW w:w="2427" w:type="dxa"/>
          </w:tcPr>
          <w:p w14:paraId="36FAAF64"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183.965,51</w:t>
            </w:r>
          </w:p>
        </w:tc>
      </w:tr>
      <w:tr w:rsidR="00935AE9" w:rsidRPr="00935AE9" w14:paraId="31572BDD" w14:textId="77777777" w:rsidTr="00127F02">
        <w:trPr>
          <w:trHeight w:val="582"/>
        </w:trPr>
        <w:tc>
          <w:tcPr>
            <w:tcW w:w="1738" w:type="dxa"/>
          </w:tcPr>
          <w:p w14:paraId="65F773EA"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A100111</w:t>
            </w:r>
          </w:p>
        </w:tc>
        <w:tc>
          <w:tcPr>
            <w:tcW w:w="2522" w:type="dxa"/>
          </w:tcPr>
          <w:p w14:paraId="6126BD4F"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Održavanje nerazvrstanih cesta  </w:t>
            </w:r>
          </w:p>
        </w:tc>
        <w:tc>
          <w:tcPr>
            <w:tcW w:w="2415" w:type="dxa"/>
          </w:tcPr>
          <w:p w14:paraId="26396FB8"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30.000,00</w:t>
            </w:r>
          </w:p>
        </w:tc>
        <w:tc>
          <w:tcPr>
            <w:tcW w:w="2427" w:type="dxa"/>
          </w:tcPr>
          <w:p w14:paraId="047FAE87"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32.157,26</w:t>
            </w:r>
          </w:p>
        </w:tc>
      </w:tr>
      <w:tr w:rsidR="00935AE9" w:rsidRPr="00935AE9" w14:paraId="46AF56CD" w14:textId="77777777" w:rsidTr="00127F02">
        <w:trPr>
          <w:trHeight w:val="582"/>
        </w:trPr>
        <w:tc>
          <w:tcPr>
            <w:tcW w:w="1738" w:type="dxa"/>
          </w:tcPr>
          <w:p w14:paraId="783A8750"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A100112</w:t>
            </w:r>
          </w:p>
        </w:tc>
        <w:tc>
          <w:tcPr>
            <w:tcW w:w="2522" w:type="dxa"/>
          </w:tcPr>
          <w:p w14:paraId="7865F39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javne rasvjete</w:t>
            </w:r>
          </w:p>
        </w:tc>
        <w:tc>
          <w:tcPr>
            <w:tcW w:w="2415" w:type="dxa"/>
          </w:tcPr>
          <w:p w14:paraId="7A3E8E24"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24.803,35</w:t>
            </w:r>
          </w:p>
        </w:tc>
        <w:tc>
          <w:tcPr>
            <w:tcW w:w="2427" w:type="dxa"/>
          </w:tcPr>
          <w:p w14:paraId="4CDFF463"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24.803,35</w:t>
            </w:r>
          </w:p>
        </w:tc>
      </w:tr>
      <w:tr w:rsidR="00935AE9" w:rsidRPr="00935AE9" w14:paraId="2336470D" w14:textId="77777777" w:rsidTr="00127F02">
        <w:trPr>
          <w:trHeight w:val="582"/>
        </w:trPr>
        <w:tc>
          <w:tcPr>
            <w:tcW w:w="1738" w:type="dxa"/>
          </w:tcPr>
          <w:p w14:paraId="4FA1D256"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A100113</w:t>
            </w:r>
          </w:p>
        </w:tc>
        <w:tc>
          <w:tcPr>
            <w:tcW w:w="2522" w:type="dxa"/>
          </w:tcPr>
          <w:p w14:paraId="0E0EFB3F"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javnih površina</w:t>
            </w:r>
          </w:p>
        </w:tc>
        <w:tc>
          <w:tcPr>
            <w:tcW w:w="2415" w:type="dxa"/>
          </w:tcPr>
          <w:p w14:paraId="6FC956BB"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61.650,00</w:t>
            </w:r>
          </w:p>
        </w:tc>
        <w:tc>
          <w:tcPr>
            <w:tcW w:w="2427" w:type="dxa"/>
          </w:tcPr>
          <w:p w14:paraId="1A1142A4"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62.503,73</w:t>
            </w:r>
          </w:p>
        </w:tc>
      </w:tr>
      <w:tr w:rsidR="00935AE9" w:rsidRPr="00935AE9" w14:paraId="221BC960" w14:textId="77777777" w:rsidTr="00127F02">
        <w:trPr>
          <w:trHeight w:val="582"/>
        </w:trPr>
        <w:tc>
          <w:tcPr>
            <w:tcW w:w="1738" w:type="dxa"/>
          </w:tcPr>
          <w:p w14:paraId="74507D69"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A100114</w:t>
            </w:r>
          </w:p>
        </w:tc>
        <w:tc>
          <w:tcPr>
            <w:tcW w:w="2522" w:type="dxa"/>
          </w:tcPr>
          <w:p w14:paraId="4EE80E1E"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groblja</w:t>
            </w:r>
          </w:p>
        </w:tc>
        <w:tc>
          <w:tcPr>
            <w:tcW w:w="2415" w:type="dxa"/>
          </w:tcPr>
          <w:p w14:paraId="3772812C"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2.850,00</w:t>
            </w:r>
          </w:p>
        </w:tc>
        <w:tc>
          <w:tcPr>
            <w:tcW w:w="2427" w:type="dxa"/>
          </w:tcPr>
          <w:p w14:paraId="3ED23A85"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1.785,00</w:t>
            </w:r>
          </w:p>
        </w:tc>
      </w:tr>
      <w:tr w:rsidR="00935AE9" w:rsidRPr="00935AE9" w14:paraId="7B0FC0FD" w14:textId="77777777" w:rsidTr="00127F02">
        <w:trPr>
          <w:trHeight w:val="582"/>
        </w:trPr>
        <w:tc>
          <w:tcPr>
            <w:tcW w:w="1738" w:type="dxa"/>
          </w:tcPr>
          <w:p w14:paraId="1F091F2D"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A100174</w:t>
            </w:r>
          </w:p>
        </w:tc>
        <w:tc>
          <w:tcPr>
            <w:tcW w:w="2522" w:type="dxa"/>
          </w:tcPr>
          <w:p w14:paraId="3BFDB6C6"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poljskih puteva</w:t>
            </w:r>
          </w:p>
        </w:tc>
        <w:tc>
          <w:tcPr>
            <w:tcW w:w="2415" w:type="dxa"/>
          </w:tcPr>
          <w:p w14:paraId="0F5990F7"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63.044,17</w:t>
            </w:r>
          </w:p>
        </w:tc>
        <w:tc>
          <w:tcPr>
            <w:tcW w:w="2427" w:type="dxa"/>
          </w:tcPr>
          <w:p w14:paraId="7A1B0EB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47.579,49</w:t>
            </w:r>
          </w:p>
        </w:tc>
      </w:tr>
      <w:tr w:rsidR="00935AE9" w:rsidRPr="00935AE9" w14:paraId="2D83DACF" w14:textId="77777777" w:rsidTr="00127F02">
        <w:trPr>
          <w:trHeight w:val="582"/>
        </w:trPr>
        <w:tc>
          <w:tcPr>
            <w:tcW w:w="1738" w:type="dxa"/>
          </w:tcPr>
          <w:p w14:paraId="266BB3B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T100175</w:t>
            </w:r>
          </w:p>
        </w:tc>
        <w:tc>
          <w:tcPr>
            <w:tcW w:w="2522" w:type="dxa"/>
          </w:tcPr>
          <w:p w14:paraId="0CD9DBBB"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Revitalizacija javnih površina- javni rad</w:t>
            </w:r>
          </w:p>
        </w:tc>
        <w:tc>
          <w:tcPr>
            <w:tcW w:w="2415" w:type="dxa"/>
          </w:tcPr>
          <w:p w14:paraId="1CCF5885"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18.360,00</w:t>
            </w:r>
          </w:p>
        </w:tc>
        <w:tc>
          <w:tcPr>
            <w:tcW w:w="2427" w:type="dxa"/>
          </w:tcPr>
          <w:p w14:paraId="5983BA03"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15.136,68</w:t>
            </w:r>
          </w:p>
        </w:tc>
      </w:tr>
      <w:bookmarkEnd w:id="0"/>
    </w:tbl>
    <w:p w14:paraId="366E093F"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36658BC1"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1006: Izgradnja objekata i uređaja komunalne infrastrukture</w:t>
      </w:r>
    </w:p>
    <w:p w14:paraId="70AF4B18"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0FE0CBB6"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2023. godini planiraju se u iznosu od 1.807.624,49 €, a izvršena su u izvještajnom razdoblju u iznosu 1.696.802,96 €.</w:t>
      </w:r>
    </w:p>
    <w:p w14:paraId="3DF3BF7D"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4B05E4FE"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izgrađena/rekonstruirana javne rasvjete (kom rasvjetnih tijela)</w:t>
      </w:r>
    </w:p>
    <w:p w14:paraId="3C2EC229"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izgrađena vodovodna mreža (m)</w:t>
      </w:r>
    </w:p>
    <w:p w14:paraId="68DB6939"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dužina izgrađenog nogostupa (m)</w:t>
      </w:r>
    </w:p>
    <w:p w14:paraId="446090BD" w14:textId="77777777" w:rsid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dužina izgrađene ceste  (m)</w:t>
      </w:r>
    </w:p>
    <w:p w14:paraId="1D3BF381" w14:textId="77777777" w:rsidR="00935AE9" w:rsidRDefault="00935AE9" w:rsidP="00982FF1">
      <w:pPr>
        <w:spacing w:after="160" w:line="259" w:lineRule="auto"/>
        <w:jc w:val="both"/>
        <w:rPr>
          <w:rFonts w:ascii="Times New Roman" w:eastAsiaTheme="minorHAnsi" w:hAnsi="Times New Roman"/>
          <w:lang w:eastAsia="en-US"/>
          <w14:ligatures w14:val="standardContextual"/>
        </w:rPr>
      </w:pPr>
    </w:p>
    <w:p w14:paraId="7CC00546"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5DC7F004"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40E4101E"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3F3F3E19" w14:textId="77777777" w:rsidTr="00127F02">
        <w:trPr>
          <w:trHeight w:val="582"/>
        </w:trPr>
        <w:tc>
          <w:tcPr>
            <w:tcW w:w="1738" w:type="dxa"/>
          </w:tcPr>
          <w:p w14:paraId="479D851E"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01089D4E"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42875ECD"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5E4CB16B"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30916ED0" w14:textId="77777777" w:rsidTr="00127F02">
        <w:trPr>
          <w:trHeight w:val="1482"/>
        </w:trPr>
        <w:tc>
          <w:tcPr>
            <w:tcW w:w="1738" w:type="dxa"/>
          </w:tcPr>
          <w:p w14:paraId="783E11F5"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P1006</w:t>
            </w:r>
          </w:p>
        </w:tc>
        <w:tc>
          <w:tcPr>
            <w:tcW w:w="2522" w:type="dxa"/>
          </w:tcPr>
          <w:p w14:paraId="0043CBC9"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Izgradnja objekata i uređaja komunalne infrastrukture</w:t>
            </w:r>
          </w:p>
        </w:tc>
        <w:tc>
          <w:tcPr>
            <w:tcW w:w="2415" w:type="dxa"/>
          </w:tcPr>
          <w:p w14:paraId="43ED8129"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1.807.624,49</w:t>
            </w:r>
          </w:p>
        </w:tc>
        <w:tc>
          <w:tcPr>
            <w:tcW w:w="2427" w:type="dxa"/>
          </w:tcPr>
          <w:p w14:paraId="0980E30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1.696.802,96</w:t>
            </w:r>
          </w:p>
        </w:tc>
      </w:tr>
      <w:tr w:rsidR="00935AE9" w:rsidRPr="00935AE9" w14:paraId="342C3AA0" w14:textId="77777777" w:rsidTr="00127F02">
        <w:trPr>
          <w:trHeight w:val="582"/>
        </w:trPr>
        <w:tc>
          <w:tcPr>
            <w:tcW w:w="1738" w:type="dxa"/>
          </w:tcPr>
          <w:p w14:paraId="5654E60C"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K100126</w:t>
            </w:r>
          </w:p>
        </w:tc>
        <w:tc>
          <w:tcPr>
            <w:tcW w:w="2522" w:type="dxa"/>
          </w:tcPr>
          <w:p w14:paraId="120A34F3"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Izgradnja led rasvjete  </w:t>
            </w:r>
          </w:p>
        </w:tc>
        <w:tc>
          <w:tcPr>
            <w:tcW w:w="2415" w:type="dxa"/>
          </w:tcPr>
          <w:p w14:paraId="2C9E18E8"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57.018,83</w:t>
            </w:r>
          </w:p>
        </w:tc>
        <w:tc>
          <w:tcPr>
            <w:tcW w:w="2427" w:type="dxa"/>
          </w:tcPr>
          <w:p w14:paraId="482E52D3"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57.018,83</w:t>
            </w:r>
          </w:p>
        </w:tc>
      </w:tr>
      <w:tr w:rsidR="00935AE9" w:rsidRPr="00935AE9" w14:paraId="28DC9A7B" w14:textId="77777777" w:rsidTr="00127F02">
        <w:trPr>
          <w:trHeight w:val="582"/>
        </w:trPr>
        <w:tc>
          <w:tcPr>
            <w:tcW w:w="1738" w:type="dxa"/>
          </w:tcPr>
          <w:p w14:paraId="1FD1DB07"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K100128</w:t>
            </w:r>
          </w:p>
        </w:tc>
        <w:tc>
          <w:tcPr>
            <w:tcW w:w="2522" w:type="dxa"/>
          </w:tcPr>
          <w:p w14:paraId="50CC5948"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kanalizacije</w:t>
            </w:r>
          </w:p>
        </w:tc>
        <w:tc>
          <w:tcPr>
            <w:tcW w:w="2415" w:type="dxa"/>
          </w:tcPr>
          <w:p w14:paraId="4A8A12C5"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5.000,00</w:t>
            </w:r>
          </w:p>
        </w:tc>
        <w:tc>
          <w:tcPr>
            <w:tcW w:w="2427" w:type="dxa"/>
          </w:tcPr>
          <w:p w14:paraId="2DFEF3D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4.237,57</w:t>
            </w:r>
          </w:p>
        </w:tc>
      </w:tr>
      <w:tr w:rsidR="00935AE9" w:rsidRPr="00935AE9" w14:paraId="3EAE68B0" w14:textId="77777777" w:rsidTr="00127F02">
        <w:trPr>
          <w:trHeight w:val="582"/>
        </w:trPr>
        <w:tc>
          <w:tcPr>
            <w:tcW w:w="1738" w:type="dxa"/>
          </w:tcPr>
          <w:p w14:paraId="321F165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K100129</w:t>
            </w:r>
          </w:p>
        </w:tc>
        <w:tc>
          <w:tcPr>
            <w:tcW w:w="2522" w:type="dxa"/>
          </w:tcPr>
          <w:p w14:paraId="6DA896D0"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vodovodne mreže</w:t>
            </w:r>
          </w:p>
        </w:tc>
        <w:tc>
          <w:tcPr>
            <w:tcW w:w="2415" w:type="dxa"/>
          </w:tcPr>
          <w:p w14:paraId="77AEA4E4"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1.000,00</w:t>
            </w:r>
          </w:p>
        </w:tc>
        <w:tc>
          <w:tcPr>
            <w:tcW w:w="2427" w:type="dxa"/>
          </w:tcPr>
          <w:p w14:paraId="01F8BE6F"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r w:rsidR="00935AE9" w:rsidRPr="00935AE9" w14:paraId="7BC09FF2" w14:textId="77777777" w:rsidTr="00127F02">
        <w:trPr>
          <w:trHeight w:val="582"/>
        </w:trPr>
        <w:tc>
          <w:tcPr>
            <w:tcW w:w="1738" w:type="dxa"/>
          </w:tcPr>
          <w:p w14:paraId="43F302E7"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K100154</w:t>
            </w:r>
          </w:p>
        </w:tc>
        <w:tc>
          <w:tcPr>
            <w:tcW w:w="2522" w:type="dxa"/>
          </w:tcPr>
          <w:p w14:paraId="5CC33607"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Rekonstrukcija kolnika u ulici K. Zvonimira</w:t>
            </w:r>
          </w:p>
        </w:tc>
        <w:tc>
          <w:tcPr>
            <w:tcW w:w="2415" w:type="dxa"/>
          </w:tcPr>
          <w:p w14:paraId="47FC89C7"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118.213,78</w:t>
            </w:r>
          </w:p>
        </w:tc>
        <w:tc>
          <w:tcPr>
            <w:tcW w:w="2427" w:type="dxa"/>
          </w:tcPr>
          <w:p w14:paraId="3E3E6BF6"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85.355,36</w:t>
            </w:r>
          </w:p>
        </w:tc>
      </w:tr>
      <w:tr w:rsidR="00935AE9" w:rsidRPr="00935AE9" w14:paraId="2DE9E9E9" w14:textId="77777777" w:rsidTr="00127F02">
        <w:trPr>
          <w:trHeight w:val="582"/>
        </w:trPr>
        <w:tc>
          <w:tcPr>
            <w:tcW w:w="1738" w:type="dxa"/>
          </w:tcPr>
          <w:p w14:paraId="27C4F01D"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K100156</w:t>
            </w:r>
          </w:p>
        </w:tc>
        <w:tc>
          <w:tcPr>
            <w:tcW w:w="2522" w:type="dxa"/>
          </w:tcPr>
          <w:p w14:paraId="493C6346"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Rekonstrukcija kolnika u ulici Mala Cerna</w:t>
            </w:r>
          </w:p>
        </w:tc>
        <w:tc>
          <w:tcPr>
            <w:tcW w:w="2415" w:type="dxa"/>
          </w:tcPr>
          <w:p w14:paraId="2CB94CFF"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988.057,14</w:t>
            </w:r>
          </w:p>
        </w:tc>
        <w:tc>
          <w:tcPr>
            <w:tcW w:w="2427" w:type="dxa"/>
          </w:tcPr>
          <w:p w14:paraId="5BCBA0EF"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985.220,25</w:t>
            </w:r>
          </w:p>
        </w:tc>
      </w:tr>
      <w:tr w:rsidR="00935AE9" w:rsidRPr="00935AE9" w14:paraId="6B32E0AB" w14:textId="77777777" w:rsidTr="00127F02">
        <w:trPr>
          <w:trHeight w:val="582"/>
        </w:trPr>
        <w:tc>
          <w:tcPr>
            <w:tcW w:w="1738" w:type="dxa"/>
          </w:tcPr>
          <w:p w14:paraId="01BF5781"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K100164</w:t>
            </w:r>
          </w:p>
        </w:tc>
        <w:tc>
          <w:tcPr>
            <w:tcW w:w="2522" w:type="dxa"/>
          </w:tcPr>
          <w:p w14:paraId="248CAAC2"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kolnika u Vukovarskoj ulici</w:t>
            </w:r>
          </w:p>
        </w:tc>
        <w:tc>
          <w:tcPr>
            <w:tcW w:w="2415" w:type="dxa"/>
          </w:tcPr>
          <w:p w14:paraId="437FA57A"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210.000,00</w:t>
            </w:r>
          </w:p>
        </w:tc>
        <w:tc>
          <w:tcPr>
            <w:tcW w:w="2427" w:type="dxa"/>
          </w:tcPr>
          <w:p w14:paraId="12FC115D"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202.225,26</w:t>
            </w:r>
          </w:p>
        </w:tc>
      </w:tr>
      <w:tr w:rsidR="00935AE9" w:rsidRPr="00935AE9" w14:paraId="6FA983BE" w14:textId="77777777" w:rsidTr="00127F02">
        <w:trPr>
          <w:trHeight w:val="582"/>
        </w:trPr>
        <w:tc>
          <w:tcPr>
            <w:tcW w:w="1738" w:type="dxa"/>
          </w:tcPr>
          <w:p w14:paraId="19E1EFB1"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K100177</w:t>
            </w:r>
          </w:p>
        </w:tc>
        <w:tc>
          <w:tcPr>
            <w:tcW w:w="2522" w:type="dxa"/>
          </w:tcPr>
          <w:p w14:paraId="0BB51E9D"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Sanacija pješačkih staza na groblju u Cerni</w:t>
            </w:r>
          </w:p>
        </w:tc>
        <w:tc>
          <w:tcPr>
            <w:tcW w:w="2415" w:type="dxa"/>
          </w:tcPr>
          <w:p w14:paraId="3E642130"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71.229,46</w:t>
            </w:r>
          </w:p>
        </w:tc>
        <w:tc>
          <w:tcPr>
            <w:tcW w:w="2427" w:type="dxa"/>
          </w:tcPr>
          <w:p w14:paraId="2259F21A"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73.165,94</w:t>
            </w:r>
          </w:p>
        </w:tc>
      </w:tr>
      <w:tr w:rsidR="00935AE9" w:rsidRPr="00935AE9" w14:paraId="4188A9AA" w14:textId="77777777" w:rsidTr="00127F02">
        <w:trPr>
          <w:trHeight w:val="582"/>
        </w:trPr>
        <w:tc>
          <w:tcPr>
            <w:tcW w:w="1738" w:type="dxa"/>
          </w:tcPr>
          <w:p w14:paraId="553007FC"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K100178</w:t>
            </w:r>
          </w:p>
        </w:tc>
        <w:tc>
          <w:tcPr>
            <w:tcW w:w="2522" w:type="dxa"/>
          </w:tcPr>
          <w:p w14:paraId="2EAF210B"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Sanacija pješačkih staza u Šiškovcima</w:t>
            </w:r>
          </w:p>
        </w:tc>
        <w:tc>
          <w:tcPr>
            <w:tcW w:w="2415" w:type="dxa"/>
          </w:tcPr>
          <w:p w14:paraId="0F937C50"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50.434,66</w:t>
            </w:r>
          </w:p>
        </w:tc>
        <w:tc>
          <w:tcPr>
            <w:tcW w:w="2427" w:type="dxa"/>
          </w:tcPr>
          <w:p w14:paraId="2814D05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850,00</w:t>
            </w:r>
          </w:p>
        </w:tc>
      </w:tr>
      <w:tr w:rsidR="00935AE9" w:rsidRPr="00935AE9" w14:paraId="4821BA80" w14:textId="77777777" w:rsidTr="00127F02">
        <w:trPr>
          <w:trHeight w:val="582"/>
        </w:trPr>
        <w:tc>
          <w:tcPr>
            <w:tcW w:w="1738" w:type="dxa"/>
          </w:tcPr>
          <w:p w14:paraId="32E1AA5D"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K100179</w:t>
            </w:r>
          </w:p>
        </w:tc>
        <w:tc>
          <w:tcPr>
            <w:tcW w:w="2522" w:type="dxa"/>
          </w:tcPr>
          <w:p w14:paraId="16516FD4"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Rekonstrukcija kolnika u ulici M. Tišljara u Cerni</w:t>
            </w:r>
          </w:p>
        </w:tc>
        <w:tc>
          <w:tcPr>
            <w:tcW w:w="2415" w:type="dxa"/>
          </w:tcPr>
          <w:p w14:paraId="4D3BDAC7"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141.300,00</w:t>
            </w:r>
          </w:p>
        </w:tc>
        <w:tc>
          <w:tcPr>
            <w:tcW w:w="2427" w:type="dxa"/>
          </w:tcPr>
          <w:p w14:paraId="0C44D811"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141.269,10</w:t>
            </w:r>
          </w:p>
        </w:tc>
      </w:tr>
      <w:tr w:rsidR="00935AE9" w:rsidRPr="00935AE9" w14:paraId="61218D0E" w14:textId="77777777" w:rsidTr="00127F02">
        <w:trPr>
          <w:trHeight w:val="582"/>
        </w:trPr>
        <w:tc>
          <w:tcPr>
            <w:tcW w:w="1738" w:type="dxa"/>
          </w:tcPr>
          <w:p w14:paraId="50FC8E6D"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K100191</w:t>
            </w:r>
          </w:p>
        </w:tc>
        <w:tc>
          <w:tcPr>
            <w:tcW w:w="2522" w:type="dxa"/>
          </w:tcPr>
          <w:p w14:paraId="03F0C1D8"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doma za starije i nemoćne osobe u Šiškovcima</w:t>
            </w:r>
          </w:p>
        </w:tc>
        <w:tc>
          <w:tcPr>
            <w:tcW w:w="2415" w:type="dxa"/>
          </w:tcPr>
          <w:p w14:paraId="46493191"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50.880,62</w:t>
            </w:r>
          </w:p>
        </w:tc>
        <w:tc>
          <w:tcPr>
            <w:tcW w:w="2427" w:type="dxa"/>
          </w:tcPr>
          <w:p w14:paraId="00FF6710"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50.880,62</w:t>
            </w:r>
          </w:p>
        </w:tc>
      </w:tr>
      <w:tr w:rsidR="00935AE9" w:rsidRPr="00935AE9" w14:paraId="2A2E48AA" w14:textId="77777777" w:rsidTr="00127F02">
        <w:trPr>
          <w:trHeight w:val="582"/>
        </w:trPr>
        <w:tc>
          <w:tcPr>
            <w:tcW w:w="1738" w:type="dxa"/>
          </w:tcPr>
          <w:p w14:paraId="5F2D2D6C"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K100192</w:t>
            </w:r>
          </w:p>
        </w:tc>
        <w:tc>
          <w:tcPr>
            <w:tcW w:w="2522" w:type="dxa"/>
          </w:tcPr>
          <w:p w14:paraId="63347DA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Asfaltiranje parkirališta u Šiškovcima</w:t>
            </w:r>
          </w:p>
        </w:tc>
        <w:tc>
          <w:tcPr>
            <w:tcW w:w="2415" w:type="dxa"/>
          </w:tcPr>
          <w:p w14:paraId="6FC514FB"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9.500,00</w:t>
            </w:r>
          </w:p>
        </w:tc>
        <w:tc>
          <w:tcPr>
            <w:tcW w:w="2427" w:type="dxa"/>
          </w:tcPr>
          <w:p w14:paraId="76C2CC8E"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r w:rsidR="00935AE9" w:rsidRPr="00935AE9" w14:paraId="3EE8EA40" w14:textId="77777777" w:rsidTr="00127F02">
        <w:trPr>
          <w:trHeight w:val="582"/>
        </w:trPr>
        <w:tc>
          <w:tcPr>
            <w:tcW w:w="1738" w:type="dxa"/>
          </w:tcPr>
          <w:p w14:paraId="4CA67CF2"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K100193</w:t>
            </w:r>
          </w:p>
        </w:tc>
        <w:tc>
          <w:tcPr>
            <w:tcW w:w="2522" w:type="dxa"/>
          </w:tcPr>
          <w:p w14:paraId="2A142BED"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Dodatna ulaganja na zgradi Lovačkog doma</w:t>
            </w:r>
          </w:p>
        </w:tc>
        <w:tc>
          <w:tcPr>
            <w:tcW w:w="2415" w:type="dxa"/>
          </w:tcPr>
          <w:p w14:paraId="62E5FF08"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6.000,00</w:t>
            </w:r>
          </w:p>
        </w:tc>
        <w:tc>
          <w:tcPr>
            <w:tcW w:w="2427" w:type="dxa"/>
          </w:tcPr>
          <w:p w14:paraId="2C75D13D"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5.981,75</w:t>
            </w:r>
          </w:p>
        </w:tc>
      </w:tr>
      <w:tr w:rsidR="00935AE9" w:rsidRPr="00935AE9" w14:paraId="0D92E6F2" w14:textId="77777777" w:rsidTr="00127F02">
        <w:trPr>
          <w:trHeight w:val="582"/>
        </w:trPr>
        <w:tc>
          <w:tcPr>
            <w:tcW w:w="1738" w:type="dxa"/>
          </w:tcPr>
          <w:p w14:paraId="086F71F8"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K100194</w:t>
            </w:r>
          </w:p>
        </w:tc>
        <w:tc>
          <w:tcPr>
            <w:tcW w:w="2522" w:type="dxa"/>
          </w:tcPr>
          <w:p w14:paraId="3673ECF8"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Sigurnost u prometu</w:t>
            </w:r>
          </w:p>
        </w:tc>
        <w:tc>
          <w:tcPr>
            <w:tcW w:w="2415" w:type="dxa"/>
          </w:tcPr>
          <w:p w14:paraId="1856B093"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14.250,00</w:t>
            </w:r>
          </w:p>
        </w:tc>
        <w:tc>
          <w:tcPr>
            <w:tcW w:w="2427" w:type="dxa"/>
          </w:tcPr>
          <w:p w14:paraId="50C0C00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6.562,50</w:t>
            </w:r>
          </w:p>
        </w:tc>
      </w:tr>
      <w:tr w:rsidR="00935AE9" w:rsidRPr="00935AE9" w14:paraId="413E13A5" w14:textId="77777777" w:rsidTr="00127F02">
        <w:trPr>
          <w:trHeight w:val="582"/>
        </w:trPr>
        <w:tc>
          <w:tcPr>
            <w:tcW w:w="1738" w:type="dxa"/>
          </w:tcPr>
          <w:p w14:paraId="57B279B3"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K100195</w:t>
            </w:r>
          </w:p>
        </w:tc>
        <w:tc>
          <w:tcPr>
            <w:tcW w:w="2522" w:type="dxa"/>
          </w:tcPr>
          <w:p w14:paraId="74F3B32C"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Sanacija krovišta na zgradi Ribičkog doma</w:t>
            </w:r>
          </w:p>
        </w:tc>
        <w:tc>
          <w:tcPr>
            <w:tcW w:w="2415" w:type="dxa"/>
          </w:tcPr>
          <w:p w14:paraId="442D957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22.240,00</w:t>
            </w:r>
          </w:p>
        </w:tc>
        <w:tc>
          <w:tcPr>
            <w:tcW w:w="2427" w:type="dxa"/>
          </w:tcPr>
          <w:p w14:paraId="23CB1700"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22.233,16</w:t>
            </w:r>
          </w:p>
        </w:tc>
      </w:tr>
      <w:tr w:rsidR="00935AE9" w:rsidRPr="00935AE9" w14:paraId="2AECFC7F" w14:textId="77777777" w:rsidTr="00127F02">
        <w:trPr>
          <w:trHeight w:val="582"/>
        </w:trPr>
        <w:tc>
          <w:tcPr>
            <w:tcW w:w="1738" w:type="dxa"/>
          </w:tcPr>
          <w:p w14:paraId="05848713"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K100196</w:t>
            </w:r>
          </w:p>
        </w:tc>
        <w:tc>
          <w:tcPr>
            <w:tcW w:w="2522" w:type="dxa"/>
          </w:tcPr>
          <w:p w14:paraId="483E871E"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Rekonstrukcija odvojka u ulici M. Cerna</w:t>
            </w:r>
          </w:p>
        </w:tc>
        <w:tc>
          <w:tcPr>
            <w:tcW w:w="2415" w:type="dxa"/>
          </w:tcPr>
          <w:p w14:paraId="21D271FA"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27.500,00</w:t>
            </w:r>
          </w:p>
        </w:tc>
        <w:tc>
          <w:tcPr>
            <w:tcW w:w="2427" w:type="dxa"/>
          </w:tcPr>
          <w:p w14:paraId="216B42C3"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27.261,68</w:t>
            </w:r>
          </w:p>
        </w:tc>
      </w:tr>
      <w:tr w:rsidR="00935AE9" w:rsidRPr="00935AE9" w14:paraId="661C064C" w14:textId="77777777" w:rsidTr="00127F02">
        <w:trPr>
          <w:trHeight w:val="582"/>
        </w:trPr>
        <w:tc>
          <w:tcPr>
            <w:tcW w:w="1738" w:type="dxa"/>
          </w:tcPr>
          <w:p w14:paraId="609F5CD1"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K100206</w:t>
            </w:r>
          </w:p>
        </w:tc>
        <w:tc>
          <w:tcPr>
            <w:tcW w:w="2522" w:type="dxa"/>
          </w:tcPr>
          <w:p w14:paraId="5CB89F1B"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nogostupa i platoa u ulici K. Tomislava u Cerni</w:t>
            </w:r>
          </w:p>
        </w:tc>
        <w:tc>
          <w:tcPr>
            <w:tcW w:w="2415" w:type="dxa"/>
          </w:tcPr>
          <w:p w14:paraId="31BCBF34"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35.000,00</w:t>
            </w:r>
          </w:p>
        </w:tc>
        <w:tc>
          <w:tcPr>
            <w:tcW w:w="2427" w:type="dxa"/>
          </w:tcPr>
          <w:p w14:paraId="30FFF30D"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34.540,94</w:t>
            </w:r>
          </w:p>
        </w:tc>
      </w:tr>
    </w:tbl>
    <w:p w14:paraId="5C2A83E0"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66120249"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5BEEA986"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1007: Zaštita okoliša</w:t>
      </w:r>
    </w:p>
    <w:p w14:paraId="6DEA4EF2"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0E38EE0"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44ED160B"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uhvaćenih / zbrinutih pasa</w:t>
      </w:r>
    </w:p>
    <w:p w14:paraId="567388B3"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provedenih postupaka deratizacije</w:t>
      </w:r>
    </w:p>
    <w:p w14:paraId="295019AA"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akcija zaprašivanja komaraca</w:t>
      </w:r>
    </w:p>
    <w:p w14:paraId="00F5520C"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saniranih zapuštenih posjeda</w:t>
      </w:r>
    </w:p>
    <w:p w14:paraId="5E594E2E"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u 2023. godini planirana su u iznosu od ukupno 285.156,07 €, a utrošena u izvještajnom razdoblju u iznosu 189.740,85 €. </w:t>
      </w:r>
    </w:p>
    <w:p w14:paraId="231920EB"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2B8B5E8F" w14:textId="77777777" w:rsidTr="00127F02">
        <w:trPr>
          <w:trHeight w:val="582"/>
        </w:trPr>
        <w:tc>
          <w:tcPr>
            <w:tcW w:w="1738" w:type="dxa"/>
          </w:tcPr>
          <w:p w14:paraId="16108D06"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bookmarkStart w:id="1" w:name="_Hlk167790972"/>
          </w:p>
        </w:tc>
        <w:tc>
          <w:tcPr>
            <w:tcW w:w="2522" w:type="dxa"/>
          </w:tcPr>
          <w:p w14:paraId="13FED4C2"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3234C515"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2D798FB8"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419C226C" w14:textId="77777777" w:rsidTr="00127F02">
        <w:trPr>
          <w:trHeight w:val="655"/>
        </w:trPr>
        <w:tc>
          <w:tcPr>
            <w:tcW w:w="1738" w:type="dxa"/>
          </w:tcPr>
          <w:p w14:paraId="1CB77030"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P1007</w:t>
            </w:r>
          </w:p>
        </w:tc>
        <w:tc>
          <w:tcPr>
            <w:tcW w:w="2522" w:type="dxa"/>
          </w:tcPr>
          <w:p w14:paraId="4457ABEB" w14:textId="77777777" w:rsidR="00935AE9" w:rsidRPr="00935AE9" w:rsidRDefault="00935AE9" w:rsidP="00935AE9">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Zaštita okoliša</w:t>
            </w:r>
          </w:p>
        </w:tc>
        <w:tc>
          <w:tcPr>
            <w:tcW w:w="2415" w:type="dxa"/>
          </w:tcPr>
          <w:p w14:paraId="726B1EF9"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285.156,07</w:t>
            </w:r>
          </w:p>
        </w:tc>
        <w:tc>
          <w:tcPr>
            <w:tcW w:w="2427" w:type="dxa"/>
          </w:tcPr>
          <w:p w14:paraId="12903709"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189.740,85</w:t>
            </w:r>
          </w:p>
        </w:tc>
      </w:tr>
      <w:tr w:rsidR="00935AE9" w:rsidRPr="00935AE9" w14:paraId="21866F99" w14:textId="77777777" w:rsidTr="00127F02">
        <w:trPr>
          <w:trHeight w:val="582"/>
        </w:trPr>
        <w:tc>
          <w:tcPr>
            <w:tcW w:w="1738" w:type="dxa"/>
          </w:tcPr>
          <w:p w14:paraId="1DE14E0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A100116</w:t>
            </w:r>
          </w:p>
        </w:tc>
        <w:tc>
          <w:tcPr>
            <w:tcW w:w="2522" w:type="dxa"/>
          </w:tcPr>
          <w:p w14:paraId="677AE5EA"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Zaštita okoliša  </w:t>
            </w:r>
          </w:p>
        </w:tc>
        <w:tc>
          <w:tcPr>
            <w:tcW w:w="2415" w:type="dxa"/>
          </w:tcPr>
          <w:p w14:paraId="70D32283"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31.387,99</w:t>
            </w:r>
          </w:p>
        </w:tc>
        <w:tc>
          <w:tcPr>
            <w:tcW w:w="2427" w:type="dxa"/>
          </w:tcPr>
          <w:p w14:paraId="6EDFF9FE"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22.282,74</w:t>
            </w:r>
          </w:p>
        </w:tc>
      </w:tr>
      <w:tr w:rsidR="00935AE9" w:rsidRPr="00935AE9" w14:paraId="55D3A5A3" w14:textId="77777777" w:rsidTr="00127F02">
        <w:trPr>
          <w:trHeight w:val="582"/>
        </w:trPr>
        <w:tc>
          <w:tcPr>
            <w:tcW w:w="1738" w:type="dxa"/>
          </w:tcPr>
          <w:p w14:paraId="3D7410D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A100117</w:t>
            </w:r>
          </w:p>
        </w:tc>
        <w:tc>
          <w:tcPr>
            <w:tcW w:w="2522" w:type="dxa"/>
          </w:tcPr>
          <w:p w14:paraId="28B68376"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Gospodarenje komunalnim otpadom</w:t>
            </w:r>
          </w:p>
        </w:tc>
        <w:tc>
          <w:tcPr>
            <w:tcW w:w="2415" w:type="dxa"/>
          </w:tcPr>
          <w:p w14:paraId="7CDE15AA"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184.955,82</w:t>
            </w:r>
          </w:p>
        </w:tc>
        <w:tc>
          <w:tcPr>
            <w:tcW w:w="2427" w:type="dxa"/>
          </w:tcPr>
          <w:p w14:paraId="6EF205C1"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107.511,56</w:t>
            </w:r>
          </w:p>
        </w:tc>
      </w:tr>
      <w:tr w:rsidR="00935AE9" w:rsidRPr="00935AE9" w14:paraId="37DDF5ED" w14:textId="77777777" w:rsidTr="00127F02">
        <w:trPr>
          <w:trHeight w:val="582"/>
        </w:trPr>
        <w:tc>
          <w:tcPr>
            <w:tcW w:w="1738" w:type="dxa"/>
          </w:tcPr>
          <w:p w14:paraId="3386470A"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A100118</w:t>
            </w:r>
          </w:p>
        </w:tc>
        <w:tc>
          <w:tcPr>
            <w:tcW w:w="2522" w:type="dxa"/>
          </w:tcPr>
          <w:p w14:paraId="416028E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Veterinarske usluge</w:t>
            </w:r>
          </w:p>
        </w:tc>
        <w:tc>
          <w:tcPr>
            <w:tcW w:w="2415" w:type="dxa"/>
          </w:tcPr>
          <w:p w14:paraId="210DA000"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19.908,42</w:t>
            </w:r>
          </w:p>
        </w:tc>
        <w:tc>
          <w:tcPr>
            <w:tcW w:w="2427" w:type="dxa"/>
          </w:tcPr>
          <w:p w14:paraId="22BFEC6E"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19.995,66</w:t>
            </w:r>
          </w:p>
        </w:tc>
      </w:tr>
      <w:tr w:rsidR="00935AE9" w:rsidRPr="00935AE9" w14:paraId="1CC1C299" w14:textId="77777777" w:rsidTr="00127F02">
        <w:trPr>
          <w:trHeight w:val="582"/>
        </w:trPr>
        <w:tc>
          <w:tcPr>
            <w:tcW w:w="1738" w:type="dxa"/>
          </w:tcPr>
          <w:p w14:paraId="59306741"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A100119</w:t>
            </w:r>
          </w:p>
        </w:tc>
        <w:tc>
          <w:tcPr>
            <w:tcW w:w="2522" w:type="dxa"/>
          </w:tcPr>
          <w:p w14:paraId="30F60081"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operativnih troškova Agrotehnološkog centra</w:t>
            </w:r>
          </w:p>
        </w:tc>
        <w:tc>
          <w:tcPr>
            <w:tcW w:w="2415" w:type="dxa"/>
          </w:tcPr>
          <w:p w14:paraId="687E312C"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26.544,56</w:t>
            </w:r>
          </w:p>
        </w:tc>
        <w:tc>
          <w:tcPr>
            <w:tcW w:w="2427" w:type="dxa"/>
          </w:tcPr>
          <w:p w14:paraId="4C315CCB"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29.109,15</w:t>
            </w:r>
          </w:p>
        </w:tc>
      </w:tr>
      <w:tr w:rsidR="00935AE9" w:rsidRPr="00935AE9" w14:paraId="37B8D8A2" w14:textId="77777777" w:rsidTr="00127F02">
        <w:trPr>
          <w:trHeight w:val="582"/>
        </w:trPr>
        <w:tc>
          <w:tcPr>
            <w:tcW w:w="1738" w:type="dxa"/>
          </w:tcPr>
          <w:p w14:paraId="50531BCE"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A100165</w:t>
            </w:r>
          </w:p>
        </w:tc>
        <w:tc>
          <w:tcPr>
            <w:tcW w:w="2522" w:type="dxa"/>
          </w:tcPr>
          <w:p w14:paraId="1F5E9ED5"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Sanacija zapuštenih privatnih posjeda</w:t>
            </w:r>
          </w:p>
        </w:tc>
        <w:tc>
          <w:tcPr>
            <w:tcW w:w="2415" w:type="dxa"/>
          </w:tcPr>
          <w:p w14:paraId="0C000190"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12.609,28</w:t>
            </w:r>
          </w:p>
        </w:tc>
        <w:tc>
          <w:tcPr>
            <w:tcW w:w="2427" w:type="dxa"/>
          </w:tcPr>
          <w:p w14:paraId="77489CEB"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7.591,74</w:t>
            </w:r>
          </w:p>
        </w:tc>
      </w:tr>
      <w:tr w:rsidR="00935AE9" w:rsidRPr="00935AE9" w14:paraId="77DF471F" w14:textId="77777777" w:rsidTr="00127F02">
        <w:trPr>
          <w:trHeight w:val="582"/>
        </w:trPr>
        <w:tc>
          <w:tcPr>
            <w:tcW w:w="1738" w:type="dxa"/>
          </w:tcPr>
          <w:p w14:paraId="495BA308"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K100136</w:t>
            </w:r>
          </w:p>
        </w:tc>
        <w:tc>
          <w:tcPr>
            <w:tcW w:w="2522" w:type="dxa"/>
          </w:tcPr>
          <w:p w14:paraId="5B8A3E20" w14:textId="77777777" w:rsidR="00935AE9" w:rsidRPr="00935AE9" w:rsidRDefault="00935AE9" w:rsidP="00935AE9">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reciklažnog dvorišta</w:t>
            </w:r>
          </w:p>
        </w:tc>
        <w:tc>
          <w:tcPr>
            <w:tcW w:w="2415" w:type="dxa"/>
          </w:tcPr>
          <w:p w14:paraId="617E31C2"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9.750,00</w:t>
            </w:r>
          </w:p>
        </w:tc>
        <w:tc>
          <w:tcPr>
            <w:tcW w:w="2427" w:type="dxa"/>
          </w:tcPr>
          <w:p w14:paraId="4147BB0A" w14:textId="77777777" w:rsidR="00935AE9" w:rsidRPr="00935AE9" w:rsidRDefault="00935AE9" w:rsidP="00935AE9">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3.250,00</w:t>
            </w:r>
          </w:p>
        </w:tc>
      </w:tr>
      <w:bookmarkEnd w:id="1"/>
    </w:tbl>
    <w:p w14:paraId="4BB85DF5"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7AF956D8"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4821586A"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2327EE85"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77D5B791"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049ADE26"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4A858A50"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1008: Razvoj poljoprivrede i gospodarstva</w:t>
      </w:r>
    </w:p>
    <w:p w14:paraId="001803FF"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45DF473"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377BD1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-dužina izgrađene ceste</w:t>
      </w:r>
    </w:p>
    <w:p w14:paraId="739CFBC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-postotak izgradnje tržnice</w:t>
      </w:r>
    </w:p>
    <w:p w14:paraId="68731F5C"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2023. godini su planirana u iznosu od 21.636,14 €, a izvršena u iznosu 29.311,31 €.</w:t>
      </w:r>
    </w:p>
    <w:p w14:paraId="2386FD3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 Planirana i izvršena sredstva raspodijeljena su kako slijedi:</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611E4E67" w14:textId="77777777" w:rsidTr="00127F02">
        <w:trPr>
          <w:trHeight w:val="582"/>
        </w:trPr>
        <w:tc>
          <w:tcPr>
            <w:tcW w:w="1738" w:type="dxa"/>
          </w:tcPr>
          <w:p w14:paraId="0CAC027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DE6610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A24F0F4"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063CAF50"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73B49910" w14:textId="77777777" w:rsidTr="00127F02">
        <w:trPr>
          <w:trHeight w:val="655"/>
        </w:trPr>
        <w:tc>
          <w:tcPr>
            <w:tcW w:w="1738" w:type="dxa"/>
          </w:tcPr>
          <w:p w14:paraId="62B2A40D"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P1008</w:t>
            </w:r>
          </w:p>
        </w:tc>
        <w:tc>
          <w:tcPr>
            <w:tcW w:w="2522" w:type="dxa"/>
          </w:tcPr>
          <w:p w14:paraId="7A4C705E"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Razvoj poljoprivrede i gospodarstva</w:t>
            </w:r>
          </w:p>
        </w:tc>
        <w:tc>
          <w:tcPr>
            <w:tcW w:w="2415" w:type="dxa"/>
          </w:tcPr>
          <w:p w14:paraId="617FCAB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21.636,14</w:t>
            </w:r>
          </w:p>
        </w:tc>
        <w:tc>
          <w:tcPr>
            <w:tcW w:w="2427" w:type="dxa"/>
          </w:tcPr>
          <w:p w14:paraId="7E8FF4F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29.311,31</w:t>
            </w:r>
          </w:p>
        </w:tc>
      </w:tr>
      <w:tr w:rsidR="00935AE9" w:rsidRPr="00935AE9" w14:paraId="4CD5E093" w14:textId="77777777" w:rsidTr="00127F02">
        <w:trPr>
          <w:trHeight w:val="582"/>
        </w:trPr>
        <w:tc>
          <w:tcPr>
            <w:tcW w:w="1738" w:type="dxa"/>
          </w:tcPr>
          <w:p w14:paraId="7261010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K100125</w:t>
            </w:r>
          </w:p>
        </w:tc>
        <w:tc>
          <w:tcPr>
            <w:tcW w:w="2522" w:type="dxa"/>
          </w:tcPr>
          <w:p w14:paraId="0E708FD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Razvoj gospodarske zone Zagrađe</w:t>
            </w:r>
          </w:p>
        </w:tc>
        <w:tc>
          <w:tcPr>
            <w:tcW w:w="2415" w:type="dxa"/>
          </w:tcPr>
          <w:p w14:paraId="0F4B8E3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15.000,00</w:t>
            </w:r>
          </w:p>
        </w:tc>
        <w:tc>
          <w:tcPr>
            <w:tcW w:w="2427" w:type="dxa"/>
          </w:tcPr>
          <w:p w14:paraId="609B9CA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22.134,91</w:t>
            </w:r>
          </w:p>
        </w:tc>
      </w:tr>
      <w:tr w:rsidR="00935AE9" w:rsidRPr="00935AE9" w14:paraId="24CBD561" w14:textId="77777777" w:rsidTr="00127F02">
        <w:trPr>
          <w:trHeight w:val="582"/>
        </w:trPr>
        <w:tc>
          <w:tcPr>
            <w:tcW w:w="1738" w:type="dxa"/>
          </w:tcPr>
          <w:p w14:paraId="441557C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K100127</w:t>
            </w:r>
          </w:p>
        </w:tc>
        <w:tc>
          <w:tcPr>
            <w:tcW w:w="2522" w:type="dxa"/>
          </w:tcPr>
          <w:p w14:paraId="01D5F24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tržnice</w:t>
            </w:r>
          </w:p>
        </w:tc>
        <w:tc>
          <w:tcPr>
            <w:tcW w:w="2415" w:type="dxa"/>
          </w:tcPr>
          <w:p w14:paraId="07BC0DA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6.636,14</w:t>
            </w:r>
          </w:p>
        </w:tc>
        <w:tc>
          <w:tcPr>
            <w:tcW w:w="2427" w:type="dxa"/>
          </w:tcPr>
          <w:p w14:paraId="54643ED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7.176,40</w:t>
            </w:r>
          </w:p>
        </w:tc>
      </w:tr>
    </w:tbl>
    <w:p w14:paraId="3AC5AA87"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4C2BD10A"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Program 1009: Upravljanje imovinom općine</w:t>
      </w:r>
    </w:p>
    <w:p w14:paraId="47FF37DC"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50EDAD9"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planirana su u 2023. godini u iznosu od 163.378,36 €, a ostvareno u izvještajnom razdoblju je 155.089,21 €.</w:t>
      </w:r>
    </w:p>
    <w:p w14:paraId="45EE8E33"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Pokazatelji uspješnosti:</w:t>
      </w:r>
    </w:p>
    <w:p w14:paraId="6BD20C6C"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projekta za izgradnju Doma kulture u Cerni</w:t>
      </w:r>
    </w:p>
    <w:p w14:paraId="74337987"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uređenih objekata/broj neuređenih objekata u vlasništvu općine</w:t>
      </w:r>
    </w:p>
    <w:p w14:paraId="75CA1844"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3E5FDC11"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19262FE6"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36E8A1E7"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38EA2895" w14:textId="77777777" w:rsidTr="00127F02">
        <w:trPr>
          <w:trHeight w:val="582"/>
        </w:trPr>
        <w:tc>
          <w:tcPr>
            <w:tcW w:w="1738" w:type="dxa"/>
          </w:tcPr>
          <w:p w14:paraId="6511DC0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bookmarkStart w:id="2" w:name="_Hlk167791853"/>
          </w:p>
        </w:tc>
        <w:tc>
          <w:tcPr>
            <w:tcW w:w="2522" w:type="dxa"/>
          </w:tcPr>
          <w:p w14:paraId="7932744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FA36DB6"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5BB48F4B"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78F7D24A" w14:textId="77777777" w:rsidTr="00127F02">
        <w:trPr>
          <w:trHeight w:val="655"/>
        </w:trPr>
        <w:tc>
          <w:tcPr>
            <w:tcW w:w="1738" w:type="dxa"/>
          </w:tcPr>
          <w:p w14:paraId="0A23AB08"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P1009</w:t>
            </w:r>
          </w:p>
        </w:tc>
        <w:tc>
          <w:tcPr>
            <w:tcW w:w="2522" w:type="dxa"/>
          </w:tcPr>
          <w:p w14:paraId="15650FA6"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Upravljanje imovinom općine</w:t>
            </w:r>
          </w:p>
        </w:tc>
        <w:tc>
          <w:tcPr>
            <w:tcW w:w="2415" w:type="dxa"/>
          </w:tcPr>
          <w:p w14:paraId="6116208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163.378,36</w:t>
            </w:r>
          </w:p>
        </w:tc>
        <w:tc>
          <w:tcPr>
            <w:tcW w:w="2427" w:type="dxa"/>
          </w:tcPr>
          <w:p w14:paraId="28EBCBD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155.089,21</w:t>
            </w:r>
          </w:p>
        </w:tc>
      </w:tr>
      <w:tr w:rsidR="00935AE9" w:rsidRPr="00935AE9" w14:paraId="65E6D15C" w14:textId="77777777" w:rsidTr="00127F02">
        <w:trPr>
          <w:trHeight w:val="582"/>
        </w:trPr>
        <w:tc>
          <w:tcPr>
            <w:tcW w:w="1738" w:type="dxa"/>
          </w:tcPr>
          <w:p w14:paraId="564B634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A100110</w:t>
            </w:r>
          </w:p>
        </w:tc>
        <w:tc>
          <w:tcPr>
            <w:tcW w:w="2522" w:type="dxa"/>
          </w:tcPr>
          <w:p w14:paraId="252BB6E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Održavanje građevinskih objekata u vlasništvu općine  </w:t>
            </w:r>
          </w:p>
        </w:tc>
        <w:tc>
          <w:tcPr>
            <w:tcW w:w="2415" w:type="dxa"/>
          </w:tcPr>
          <w:p w14:paraId="191503F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69.013,27</w:t>
            </w:r>
          </w:p>
        </w:tc>
        <w:tc>
          <w:tcPr>
            <w:tcW w:w="2427" w:type="dxa"/>
          </w:tcPr>
          <w:p w14:paraId="564666E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68.591,33</w:t>
            </w:r>
          </w:p>
        </w:tc>
      </w:tr>
      <w:tr w:rsidR="00935AE9" w:rsidRPr="00935AE9" w14:paraId="04E9F635" w14:textId="77777777" w:rsidTr="00127F02">
        <w:trPr>
          <w:trHeight w:val="582"/>
        </w:trPr>
        <w:tc>
          <w:tcPr>
            <w:tcW w:w="1738" w:type="dxa"/>
          </w:tcPr>
          <w:p w14:paraId="62FA92A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K100108</w:t>
            </w:r>
          </w:p>
        </w:tc>
        <w:tc>
          <w:tcPr>
            <w:tcW w:w="2522" w:type="dxa"/>
          </w:tcPr>
          <w:p w14:paraId="41D927E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Investicijsko održavanje općinskih zgrada</w:t>
            </w:r>
          </w:p>
        </w:tc>
        <w:tc>
          <w:tcPr>
            <w:tcW w:w="2415" w:type="dxa"/>
          </w:tcPr>
          <w:p w14:paraId="42DB84F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64.965,09</w:t>
            </w:r>
          </w:p>
        </w:tc>
        <w:tc>
          <w:tcPr>
            <w:tcW w:w="2427" w:type="dxa"/>
          </w:tcPr>
          <w:p w14:paraId="7A896B6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62.808,84</w:t>
            </w:r>
          </w:p>
        </w:tc>
      </w:tr>
      <w:tr w:rsidR="00935AE9" w:rsidRPr="00935AE9" w14:paraId="1A59F3FA" w14:textId="77777777" w:rsidTr="00127F02">
        <w:trPr>
          <w:trHeight w:val="582"/>
        </w:trPr>
        <w:tc>
          <w:tcPr>
            <w:tcW w:w="1738" w:type="dxa"/>
          </w:tcPr>
          <w:p w14:paraId="1E97141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K100133</w:t>
            </w:r>
          </w:p>
        </w:tc>
        <w:tc>
          <w:tcPr>
            <w:tcW w:w="2522" w:type="dxa"/>
          </w:tcPr>
          <w:p w14:paraId="24EB739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Doma kulture Cerna</w:t>
            </w:r>
          </w:p>
        </w:tc>
        <w:tc>
          <w:tcPr>
            <w:tcW w:w="2415" w:type="dxa"/>
          </w:tcPr>
          <w:p w14:paraId="77BEB75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5.000,00</w:t>
            </w:r>
          </w:p>
        </w:tc>
        <w:tc>
          <w:tcPr>
            <w:tcW w:w="2427" w:type="dxa"/>
          </w:tcPr>
          <w:p w14:paraId="6A8C104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r w:rsidR="00935AE9" w:rsidRPr="00935AE9" w14:paraId="13F40048" w14:textId="77777777" w:rsidTr="00127F02">
        <w:trPr>
          <w:trHeight w:val="582"/>
        </w:trPr>
        <w:tc>
          <w:tcPr>
            <w:tcW w:w="1738" w:type="dxa"/>
          </w:tcPr>
          <w:p w14:paraId="07F1726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K100134</w:t>
            </w:r>
          </w:p>
        </w:tc>
        <w:tc>
          <w:tcPr>
            <w:tcW w:w="2522" w:type="dxa"/>
          </w:tcPr>
          <w:p w14:paraId="54BF605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Opremanje čitaonice u sklopu Društvenog doma u Šiškovcima</w:t>
            </w:r>
          </w:p>
        </w:tc>
        <w:tc>
          <w:tcPr>
            <w:tcW w:w="2415" w:type="dxa"/>
          </w:tcPr>
          <w:p w14:paraId="4CDFD1E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13.000,00</w:t>
            </w:r>
          </w:p>
        </w:tc>
        <w:tc>
          <w:tcPr>
            <w:tcW w:w="2427" w:type="dxa"/>
          </w:tcPr>
          <w:p w14:paraId="4184852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12.689,04</w:t>
            </w:r>
          </w:p>
        </w:tc>
      </w:tr>
      <w:tr w:rsidR="00935AE9" w:rsidRPr="00935AE9" w14:paraId="476CC1EB" w14:textId="77777777" w:rsidTr="00127F02">
        <w:trPr>
          <w:trHeight w:val="582"/>
        </w:trPr>
        <w:tc>
          <w:tcPr>
            <w:tcW w:w="1738" w:type="dxa"/>
          </w:tcPr>
          <w:p w14:paraId="12BB93F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K100200</w:t>
            </w:r>
          </w:p>
        </w:tc>
        <w:tc>
          <w:tcPr>
            <w:tcW w:w="2522" w:type="dxa"/>
          </w:tcPr>
          <w:p w14:paraId="41281AF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platforme za pristup osoba s invaliditetom</w:t>
            </w:r>
          </w:p>
        </w:tc>
        <w:tc>
          <w:tcPr>
            <w:tcW w:w="2415" w:type="dxa"/>
          </w:tcPr>
          <w:p w14:paraId="3AA00E7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11.400,00</w:t>
            </w:r>
          </w:p>
        </w:tc>
        <w:tc>
          <w:tcPr>
            <w:tcW w:w="2427" w:type="dxa"/>
          </w:tcPr>
          <w:p w14:paraId="29589C3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11.000,00</w:t>
            </w:r>
          </w:p>
        </w:tc>
      </w:tr>
      <w:bookmarkEnd w:id="2"/>
    </w:tbl>
    <w:p w14:paraId="32581E1A"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79879B17"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1010: Prostorno uređenje i unapređenje stanovanja</w:t>
      </w:r>
    </w:p>
    <w:p w14:paraId="6255C4C7"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 je usmjeren na aktivnosti u pogledu uređenja dječjih igrališta.</w:t>
      </w:r>
    </w:p>
    <w:p w14:paraId="0F6AF737"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59AA232"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uređenih dječjih igrališta</w:t>
      </w:r>
    </w:p>
    <w:p w14:paraId="684D07E4"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provođenje programa u 2023. godini planirana su sredstva u iznosu od ukupno 13.200,00 €, a izvršeno je u izvještajnom razdoblju u iznosu 13.113,82 €.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59046445" w14:textId="77777777" w:rsidTr="00127F02">
        <w:trPr>
          <w:trHeight w:val="582"/>
        </w:trPr>
        <w:tc>
          <w:tcPr>
            <w:tcW w:w="1738" w:type="dxa"/>
          </w:tcPr>
          <w:p w14:paraId="6E34AAB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586161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340AEBBE"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22029B16"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09C6C807" w14:textId="77777777" w:rsidTr="00127F02">
        <w:trPr>
          <w:trHeight w:val="655"/>
        </w:trPr>
        <w:tc>
          <w:tcPr>
            <w:tcW w:w="1738" w:type="dxa"/>
          </w:tcPr>
          <w:p w14:paraId="18879DA2"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P1010</w:t>
            </w:r>
          </w:p>
        </w:tc>
        <w:tc>
          <w:tcPr>
            <w:tcW w:w="2522" w:type="dxa"/>
          </w:tcPr>
          <w:p w14:paraId="25B71F47"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Prostorno uređenje i unapređenje stanovanja</w:t>
            </w:r>
          </w:p>
        </w:tc>
        <w:tc>
          <w:tcPr>
            <w:tcW w:w="2415" w:type="dxa"/>
          </w:tcPr>
          <w:p w14:paraId="7D37AEF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13.200,00</w:t>
            </w:r>
          </w:p>
        </w:tc>
        <w:tc>
          <w:tcPr>
            <w:tcW w:w="2427" w:type="dxa"/>
          </w:tcPr>
          <w:p w14:paraId="5C3F770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13.113,82</w:t>
            </w:r>
          </w:p>
        </w:tc>
      </w:tr>
      <w:tr w:rsidR="00935AE9" w:rsidRPr="00935AE9" w14:paraId="754E14A7" w14:textId="77777777" w:rsidTr="00127F02">
        <w:trPr>
          <w:trHeight w:val="582"/>
        </w:trPr>
        <w:tc>
          <w:tcPr>
            <w:tcW w:w="1738" w:type="dxa"/>
          </w:tcPr>
          <w:p w14:paraId="29F45EA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K100121</w:t>
            </w:r>
          </w:p>
        </w:tc>
        <w:tc>
          <w:tcPr>
            <w:tcW w:w="2522" w:type="dxa"/>
          </w:tcPr>
          <w:p w14:paraId="1EE009A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Uređenje dječjeg igrališta</w:t>
            </w:r>
          </w:p>
        </w:tc>
        <w:tc>
          <w:tcPr>
            <w:tcW w:w="2415" w:type="dxa"/>
          </w:tcPr>
          <w:p w14:paraId="13DF357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13.200,00</w:t>
            </w:r>
          </w:p>
        </w:tc>
        <w:tc>
          <w:tcPr>
            <w:tcW w:w="2427" w:type="dxa"/>
          </w:tcPr>
          <w:p w14:paraId="7513025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13.113,82</w:t>
            </w:r>
          </w:p>
        </w:tc>
      </w:tr>
    </w:tbl>
    <w:p w14:paraId="4F7B427A"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46B22D3E"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1011: Program javnih potreba u školstvu</w:t>
      </w:r>
    </w:p>
    <w:p w14:paraId="3C7E8515"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5CC43D23"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6F6A3EA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studenata</w:t>
      </w:r>
    </w:p>
    <w:p w14:paraId="59F19B4D"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učenika koji koriste javni prijevoz</w:t>
      </w:r>
    </w:p>
    <w:p w14:paraId="24DFB9B5"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lastRenderedPageBreak/>
        <w:t>Sredstva za provođenje programa</w:t>
      </w:r>
      <w:r w:rsidRPr="00935AE9">
        <w:rPr>
          <w:rFonts w:ascii="Times New Roman" w:eastAsiaTheme="minorHAnsi" w:hAnsi="Times New Roman"/>
          <w:lang w:eastAsia="en-US"/>
          <w14:ligatures w14:val="standardContextual"/>
        </w:rPr>
        <w:t xml:space="preserve"> u 2023. godini planirana su sredstva u iznosu od ukupno 94.248,02 €, a izvršena u iznosu 80.758,04 €.</w:t>
      </w:r>
    </w:p>
    <w:p w14:paraId="35E41B56"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68798CC4" w14:textId="77777777" w:rsidTr="00127F02">
        <w:trPr>
          <w:trHeight w:val="582"/>
        </w:trPr>
        <w:tc>
          <w:tcPr>
            <w:tcW w:w="1738" w:type="dxa"/>
          </w:tcPr>
          <w:p w14:paraId="0AF9902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bookmarkStart w:id="3" w:name="_Hlk167792114"/>
          </w:p>
        </w:tc>
        <w:tc>
          <w:tcPr>
            <w:tcW w:w="2522" w:type="dxa"/>
          </w:tcPr>
          <w:p w14:paraId="231B0C5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FB46075"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25E54AF6"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072E146C" w14:textId="77777777" w:rsidTr="00127F02">
        <w:trPr>
          <w:trHeight w:val="655"/>
        </w:trPr>
        <w:tc>
          <w:tcPr>
            <w:tcW w:w="1738" w:type="dxa"/>
          </w:tcPr>
          <w:p w14:paraId="1A1A2D65"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P1011</w:t>
            </w:r>
          </w:p>
        </w:tc>
        <w:tc>
          <w:tcPr>
            <w:tcW w:w="2522" w:type="dxa"/>
          </w:tcPr>
          <w:p w14:paraId="794C4EA2"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Program javnih potreba u školstvu</w:t>
            </w:r>
          </w:p>
        </w:tc>
        <w:tc>
          <w:tcPr>
            <w:tcW w:w="2415" w:type="dxa"/>
          </w:tcPr>
          <w:p w14:paraId="7F719FF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94.248,02</w:t>
            </w:r>
          </w:p>
        </w:tc>
        <w:tc>
          <w:tcPr>
            <w:tcW w:w="2427" w:type="dxa"/>
          </w:tcPr>
          <w:p w14:paraId="45130ED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80.758,04</w:t>
            </w:r>
          </w:p>
        </w:tc>
      </w:tr>
      <w:tr w:rsidR="00935AE9" w:rsidRPr="00935AE9" w14:paraId="50AC7CC5" w14:textId="77777777" w:rsidTr="00127F02">
        <w:trPr>
          <w:trHeight w:val="582"/>
        </w:trPr>
        <w:tc>
          <w:tcPr>
            <w:tcW w:w="1738" w:type="dxa"/>
          </w:tcPr>
          <w:p w14:paraId="0DD2287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A100184</w:t>
            </w:r>
          </w:p>
        </w:tc>
        <w:tc>
          <w:tcPr>
            <w:tcW w:w="2522" w:type="dxa"/>
          </w:tcPr>
          <w:p w14:paraId="526602D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Financiranje aktivnosti u školstvu</w:t>
            </w:r>
          </w:p>
        </w:tc>
        <w:tc>
          <w:tcPr>
            <w:tcW w:w="2415" w:type="dxa"/>
          </w:tcPr>
          <w:p w14:paraId="2E86D34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11.295,12</w:t>
            </w:r>
          </w:p>
        </w:tc>
        <w:tc>
          <w:tcPr>
            <w:tcW w:w="2427" w:type="dxa"/>
          </w:tcPr>
          <w:p w14:paraId="056361D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3.351,58</w:t>
            </w:r>
          </w:p>
        </w:tc>
      </w:tr>
      <w:tr w:rsidR="00935AE9" w:rsidRPr="00935AE9" w14:paraId="25CB8A5A" w14:textId="77777777" w:rsidTr="00127F02">
        <w:trPr>
          <w:trHeight w:val="582"/>
        </w:trPr>
        <w:tc>
          <w:tcPr>
            <w:tcW w:w="1738" w:type="dxa"/>
          </w:tcPr>
          <w:p w14:paraId="043B765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A100185</w:t>
            </w:r>
          </w:p>
        </w:tc>
        <w:tc>
          <w:tcPr>
            <w:tcW w:w="2522" w:type="dxa"/>
          </w:tcPr>
          <w:p w14:paraId="7837F39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Stipendiranje studenata</w:t>
            </w:r>
          </w:p>
        </w:tc>
        <w:tc>
          <w:tcPr>
            <w:tcW w:w="2415" w:type="dxa"/>
          </w:tcPr>
          <w:p w14:paraId="15880D9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21.481,60</w:t>
            </w:r>
          </w:p>
        </w:tc>
        <w:tc>
          <w:tcPr>
            <w:tcW w:w="2427" w:type="dxa"/>
          </w:tcPr>
          <w:p w14:paraId="1F7D525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21.481,60</w:t>
            </w:r>
          </w:p>
        </w:tc>
      </w:tr>
      <w:tr w:rsidR="00935AE9" w:rsidRPr="00935AE9" w14:paraId="48CEE405" w14:textId="77777777" w:rsidTr="00127F02">
        <w:trPr>
          <w:trHeight w:val="582"/>
        </w:trPr>
        <w:tc>
          <w:tcPr>
            <w:tcW w:w="1738" w:type="dxa"/>
          </w:tcPr>
          <w:p w14:paraId="0C87568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A100186</w:t>
            </w:r>
          </w:p>
        </w:tc>
        <w:tc>
          <w:tcPr>
            <w:tcW w:w="2522" w:type="dxa"/>
          </w:tcPr>
          <w:p w14:paraId="3F0EEC2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Financiranje udžbenika</w:t>
            </w:r>
          </w:p>
        </w:tc>
        <w:tc>
          <w:tcPr>
            <w:tcW w:w="2415" w:type="dxa"/>
          </w:tcPr>
          <w:p w14:paraId="3A868B1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42.471,30</w:t>
            </w:r>
          </w:p>
        </w:tc>
        <w:tc>
          <w:tcPr>
            <w:tcW w:w="2427" w:type="dxa"/>
          </w:tcPr>
          <w:p w14:paraId="5692623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42.637,82</w:t>
            </w:r>
          </w:p>
        </w:tc>
      </w:tr>
      <w:tr w:rsidR="00935AE9" w:rsidRPr="00935AE9" w14:paraId="39B1A77A" w14:textId="77777777" w:rsidTr="00127F02">
        <w:trPr>
          <w:trHeight w:val="582"/>
        </w:trPr>
        <w:tc>
          <w:tcPr>
            <w:tcW w:w="1738" w:type="dxa"/>
          </w:tcPr>
          <w:p w14:paraId="440E805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A100187</w:t>
            </w:r>
          </w:p>
        </w:tc>
        <w:tc>
          <w:tcPr>
            <w:tcW w:w="2522" w:type="dxa"/>
          </w:tcPr>
          <w:p w14:paraId="7B5D577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prijevoza učenika</w:t>
            </w:r>
          </w:p>
        </w:tc>
        <w:tc>
          <w:tcPr>
            <w:tcW w:w="2415" w:type="dxa"/>
          </w:tcPr>
          <w:p w14:paraId="46F2AC8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19.000,00</w:t>
            </w:r>
          </w:p>
        </w:tc>
        <w:tc>
          <w:tcPr>
            <w:tcW w:w="2427" w:type="dxa"/>
          </w:tcPr>
          <w:p w14:paraId="66D2A28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13.287,04</w:t>
            </w:r>
          </w:p>
        </w:tc>
      </w:tr>
      <w:bookmarkEnd w:id="3"/>
    </w:tbl>
    <w:p w14:paraId="6F72C105"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2063C485"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1012: Javne potrebe u kulturi</w:t>
      </w:r>
    </w:p>
    <w:p w14:paraId="2E76E4C7"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2233848E"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2D710265"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financiranih projekata u kulturi</w:t>
      </w:r>
    </w:p>
    <w:p w14:paraId="6375A91E"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održanih manifestacija</w:t>
      </w:r>
    </w:p>
    <w:p w14:paraId="33E5C83A"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Sredstva za realizaciju programa se u 2023. godini planirani su u iznosu od 84.914,49 €, a izvršena su u izvještajnom razdoblju u iznosu od 78.517,19 €.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2BC5FFE1" w14:textId="77777777" w:rsidTr="00127F02">
        <w:trPr>
          <w:trHeight w:val="582"/>
        </w:trPr>
        <w:tc>
          <w:tcPr>
            <w:tcW w:w="1738" w:type="dxa"/>
          </w:tcPr>
          <w:p w14:paraId="113F3B3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41CFF7F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626874AD"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5C5108A8"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6C453137" w14:textId="77777777" w:rsidTr="00127F02">
        <w:trPr>
          <w:trHeight w:val="655"/>
        </w:trPr>
        <w:tc>
          <w:tcPr>
            <w:tcW w:w="1738" w:type="dxa"/>
          </w:tcPr>
          <w:p w14:paraId="65F63553"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P1012</w:t>
            </w:r>
          </w:p>
        </w:tc>
        <w:tc>
          <w:tcPr>
            <w:tcW w:w="2522" w:type="dxa"/>
          </w:tcPr>
          <w:p w14:paraId="3168A225"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 kulturi</w:t>
            </w:r>
          </w:p>
        </w:tc>
        <w:tc>
          <w:tcPr>
            <w:tcW w:w="2415" w:type="dxa"/>
          </w:tcPr>
          <w:p w14:paraId="16213BF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84.914,49</w:t>
            </w:r>
          </w:p>
        </w:tc>
        <w:tc>
          <w:tcPr>
            <w:tcW w:w="2427" w:type="dxa"/>
          </w:tcPr>
          <w:p w14:paraId="1407048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78.517,19</w:t>
            </w:r>
          </w:p>
        </w:tc>
      </w:tr>
      <w:tr w:rsidR="00935AE9" w:rsidRPr="00935AE9" w14:paraId="327FDDB2" w14:textId="77777777" w:rsidTr="00127F02">
        <w:trPr>
          <w:trHeight w:val="582"/>
        </w:trPr>
        <w:tc>
          <w:tcPr>
            <w:tcW w:w="1738" w:type="dxa"/>
          </w:tcPr>
          <w:p w14:paraId="357DEF1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A100137</w:t>
            </w:r>
          </w:p>
        </w:tc>
        <w:tc>
          <w:tcPr>
            <w:tcW w:w="2522" w:type="dxa"/>
          </w:tcPr>
          <w:p w14:paraId="3B49EC3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Donacije u kulturi</w:t>
            </w:r>
          </w:p>
        </w:tc>
        <w:tc>
          <w:tcPr>
            <w:tcW w:w="2415" w:type="dxa"/>
          </w:tcPr>
          <w:p w14:paraId="1DF8EAC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18.935,68</w:t>
            </w:r>
          </w:p>
        </w:tc>
        <w:tc>
          <w:tcPr>
            <w:tcW w:w="2427" w:type="dxa"/>
          </w:tcPr>
          <w:p w14:paraId="7153AF7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13.325,00</w:t>
            </w:r>
          </w:p>
        </w:tc>
      </w:tr>
      <w:tr w:rsidR="00935AE9" w:rsidRPr="00935AE9" w14:paraId="4E270020" w14:textId="77777777" w:rsidTr="00127F02">
        <w:trPr>
          <w:trHeight w:val="582"/>
        </w:trPr>
        <w:tc>
          <w:tcPr>
            <w:tcW w:w="1738" w:type="dxa"/>
          </w:tcPr>
          <w:p w14:paraId="6E68D19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A100173</w:t>
            </w:r>
          </w:p>
        </w:tc>
        <w:tc>
          <w:tcPr>
            <w:tcW w:w="2522" w:type="dxa"/>
          </w:tcPr>
          <w:p w14:paraId="463DD5E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Manifestacije</w:t>
            </w:r>
          </w:p>
        </w:tc>
        <w:tc>
          <w:tcPr>
            <w:tcW w:w="2415" w:type="dxa"/>
          </w:tcPr>
          <w:p w14:paraId="4D444B3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65.978,81</w:t>
            </w:r>
          </w:p>
        </w:tc>
        <w:tc>
          <w:tcPr>
            <w:tcW w:w="2427" w:type="dxa"/>
          </w:tcPr>
          <w:p w14:paraId="5007968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65.192,19</w:t>
            </w:r>
          </w:p>
        </w:tc>
      </w:tr>
    </w:tbl>
    <w:p w14:paraId="493CBD37" w14:textId="77777777" w:rsidR="00935AE9" w:rsidRDefault="00935AE9" w:rsidP="00982FF1">
      <w:pPr>
        <w:spacing w:after="160" w:line="259" w:lineRule="auto"/>
        <w:jc w:val="both"/>
        <w:rPr>
          <w:rFonts w:ascii="Times New Roman" w:eastAsiaTheme="minorHAnsi" w:hAnsi="Times New Roman"/>
          <w:lang w:eastAsia="en-US"/>
          <w14:ligatures w14:val="standardContextual"/>
        </w:rPr>
      </w:pPr>
    </w:p>
    <w:p w14:paraId="0EFEDCE4" w14:textId="77777777" w:rsidR="00935AE9" w:rsidRDefault="00935AE9" w:rsidP="00982FF1">
      <w:pPr>
        <w:spacing w:after="160" w:line="259" w:lineRule="auto"/>
        <w:jc w:val="both"/>
        <w:rPr>
          <w:rFonts w:ascii="Times New Roman" w:eastAsiaTheme="minorHAnsi" w:hAnsi="Times New Roman"/>
          <w:lang w:eastAsia="en-US"/>
          <w14:ligatures w14:val="standardContextual"/>
        </w:rPr>
      </w:pPr>
    </w:p>
    <w:p w14:paraId="4CB501E8"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3A33CEE8"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1013: Javne potrebe u sportu</w:t>
      </w:r>
    </w:p>
    <w:p w14:paraId="709571A5"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javnih potreba u sportu osiguravaju se financijska sredstva za financiranje sportskih udruga Općine Cerna. Osiguravaju se i sredstva za prijavu projekta izgradnje sportsko rekreacijskog centra.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3035BF34"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Pokazatelji uspješnosti: </w:t>
      </w:r>
    </w:p>
    <w:p w14:paraId="18F4F5E6"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 broj udruga kojima je dodijeljena donacija po javnom pozivu </w:t>
      </w:r>
    </w:p>
    <w:p w14:paraId="088A4164"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projekata za izgradnju SRC</w:t>
      </w:r>
    </w:p>
    <w:p w14:paraId="3AFB3BB9"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planirana su u 2023. godini u iznosu od 115.500,00 €, a izvršena su u iznosu 121.236,57 €.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0B59C10D" w14:textId="77777777" w:rsidTr="00127F02">
        <w:trPr>
          <w:trHeight w:val="582"/>
        </w:trPr>
        <w:tc>
          <w:tcPr>
            <w:tcW w:w="1738" w:type="dxa"/>
          </w:tcPr>
          <w:p w14:paraId="532EE9F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49D3A18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6E93D64"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4CE514BF"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0A320FEF" w14:textId="77777777" w:rsidTr="00127F02">
        <w:trPr>
          <w:trHeight w:val="655"/>
        </w:trPr>
        <w:tc>
          <w:tcPr>
            <w:tcW w:w="1738" w:type="dxa"/>
          </w:tcPr>
          <w:p w14:paraId="0D4FC526"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P1013</w:t>
            </w:r>
          </w:p>
        </w:tc>
        <w:tc>
          <w:tcPr>
            <w:tcW w:w="2522" w:type="dxa"/>
          </w:tcPr>
          <w:p w14:paraId="484B09D6"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 sportu</w:t>
            </w:r>
          </w:p>
        </w:tc>
        <w:tc>
          <w:tcPr>
            <w:tcW w:w="2415" w:type="dxa"/>
          </w:tcPr>
          <w:p w14:paraId="01C5381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115.500,00</w:t>
            </w:r>
          </w:p>
        </w:tc>
        <w:tc>
          <w:tcPr>
            <w:tcW w:w="2427" w:type="dxa"/>
          </w:tcPr>
          <w:p w14:paraId="060508D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121.236,57</w:t>
            </w:r>
          </w:p>
        </w:tc>
      </w:tr>
      <w:tr w:rsidR="00935AE9" w:rsidRPr="00935AE9" w14:paraId="7291A988" w14:textId="77777777" w:rsidTr="00127F02">
        <w:trPr>
          <w:trHeight w:val="582"/>
        </w:trPr>
        <w:tc>
          <w:tcPr>
            <w:tcW w:w="1738" w:type="dxa"/>
          </w:tcPr>
          <w:p w14:paraId="3D9A01C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A100138</w:t>
            </w:r>
          </w:p>
        </w:tc>
        <w:tc>
          <w:tcPr>
            <w:tcW w:w="2522" w:type="dxa"/>
          </w:tcPr>
          <w:p w14:paraId="5843288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sportskih klubova</w:t>
            </w:r>
          </w:p>
        </w:tc>
        <w:tc>
          <w:tcPr>
            <w:tcW w:w="2415" w:type="dxa"/>
          </w:tcPr>
          <w:p w14:paraId="2377ACC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115.500,00</w:t>
            </w:r>
          </w:p>
        </w:tc>
        <w:tc>
          <w:tcPr>
            <w:tcW w:w="2427" w:type="dxa"/>
          </w:tcPr>
          <w:p w14:paraId="412CE67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121.236,57</w:t>
            </w:r>
          </w:p>
        </w:tc>
      </w:tr>
    </w:tbl>
    <w:p w14:paraId="5921CBDA"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p>
    <w:p w14:paraId="0096575F"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p>
    <w:p w14:paraId="22A27D94"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1014: Javne potrebe udruga građana</w:t>
      </w:r>
    </w:p>
    <w:p w14:paraId="4EB854BB"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osiguravaju financijska sredstva potrebna za financiranje udruga koje djeluju na području Općine Cerna po javnom pozivu te ostalih udruga građana u okolici.</w:t>
      </w:r>
    </w:p>
    <w:p w14:paraId="10977798"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DD3C25C"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odobrenih donacija po javnom pozivu</w:t>
      </w:r>
    </w:p>
    <w:p w14:paraId="5FD4097A"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2023. godini planirana su u iznosu 10.606,85 €, a u izvještajnom razdoblju ostvarena su u iznosu 9.847,19 €.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174D40BC" w14:textId="77777777" w:rsidTr="00127F02">
        <w:trPr>
          <w:trHeight w:val="582"/>
        </w:trPr>
        <w:tc>
          <w:tcPr>
            <w:tcW w:w="1738" w:type="dxa"/>
          </w:tcPr>
          <w:p w14:paraId="647C872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1859CA5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7B47061"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70480DFB"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677FC96E" w14:textId="77777777" w:rsidTr="00127F02">
        <w:trPr>
          <w:trHeight w:val="655"/>
        </w:trPr>
        <w:tc>
          <w:tcPr>
            <w:tcW w:w="1738" w:type="dxa"/>
          </w:tcPr>
          <w:p w14:paraId="09B92B2A"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P1014</w:t>
            </w:r>
          </w:p>
        </w:tc>
        <w:tc>
          <w:tcPr>
            <w:tcW w:w="2522" w:type="dxa"/>
          </w:tcPr>
          <w:p w14:paraId="1FB9ACF2"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udruga građana</w:t>
            </w:r>
          </w:p>
        </w:tc>
        <w:tc>
          <w:tcPr>
            <w:tcW w:w="2415" w:type="dxa"/>
          </w:tcPr>
          <w:p w14:paraId="312C8CB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10.606,85</w:t>
            </w:r>
          </w:p>
        </w:tc>
        <w:tc>
          <w:tcPr>
            <w:tcW w:w="2427" w:type="dxa"/>
          </w:tcPr>
          <w:p w14:paraId="151F294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9.847,19</w:t>
            </w:r>
          </w:p>
        </w:tc>
      </w:tr>
      <w:tr w:rsidR="00935AE9" w:rsidRPr="00935AE9" w14:paraId="6AE3D0B1" w14:textId="77777777" w:rsidTr="00127F02">
        <w:trPr>
          <w:trHeight w:val="582"/>
        </w:trPr>
        <w:tc>
          <w:tcPr>
            <w:tcW w:w="1738" w:type="dxa"/>
          </w:tcPr>
          <w:p w14:paraId="2C5F811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A100139</w:t>
            </w:r>
          </w:p>
        </w:tc>
        <w:tc>
          <w:tcPr>
            <w:tcW w:w="2522" w:type="dxa"/>
          </w:tcPr>
          <w:p w14:paraId="66E81A0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udruga građana</w:t>
            </w:r>
          </w:p>
        </w:tc>
        <w:tc>
          <w:tcPr>
            <w:tcW w:w="2415" w:type="dxa"/>
          </w:tcPr>
          <w:p w14:paraId="713C8EF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10.606,85</w:t>
            </w:r>
          </w:p>
        </w:tc>
        <w:tc>
          <w:tcPr>
            <w:tcW w:w="2427" w:type="dxa"/>
          </w:tcPr>
          <w:p w14:paraId="3B45413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9.847,19</w:t>
            </w:r>
          </w:p>
        </w:tc>
      </w:tr>
    </w:tbl>
    <w:p w14:paraId="40C9FDDA"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6BB71505" w14:textId="77777777" w:rsidR="00982FF1" w:rsidRDefault="00982FF1" w:rsidP="00935AE9">
      <w:pPr>
        <w:spacing w:after="160" w:line="259" w:lineRule="auto"/>
        <w:rPr>
          <w:rFonts w:ascii="Times New Roman" w:eastAsiaTheme="minorHAnsi" w:hAnsi="Times New Roman"/>
          <w:b/>
          <w:bCs/>
          <w:i/>
          <w:iCs/>
          <w:lang w:eastAsia="en-US"/>
          <w14:ligatures w14:val="standardContextual"/>
        </w:rPr>
      </w:pPr>
    </w:p>
    <w:p w14:paraId="5FF563C5" w14:textId="77777777" w:rsidR="00982FF1" w:rsidRDefault="00982FF1" w:rsidP="00935AE9">
      <w:pPr>
        <w:spacing w:after="160" w:line="259" w:lineRule="auto"/>
        <w:rPr>
          <w:rFonts w:ascii="Times New Roman" w:eastAsiaTheme="minorHAnsi" w:hAnsi="Times New Roman"/>
          <w:b/>
          <w:bCs/>
          <w:i/>
          <w:iCs/>
          <w:lang w:eastAsia="en-US"/>
          <w14:ligatures w14:val="standardContextual"/>
        </w:rPr>
      </w:pPr>
    </w:p>
    <w:p w14:paraId="201C6F3C" w14:textId="69AE54BA"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1015: Program socijalne skrbi i novčane pomoći</w:t>
      </w:r>
    </w:p>
    <w:p w14:paraId="7DE41EDE"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se provodi radi osiguranja socijalne pomoći za socijalno najugroženije i najranjivije skupine građana općine Cerna. Program podrazumijeva pružanje pomoći socijalno ugroženim građanima, a u svrhu  podmirenja troškova stanovanja, pomoći za nabavu ogrijeva, financiranje crvenog križa te pomoći umirovljenicima.</w:t>
      </w:r>
    </w:p>
    <w:p w14:paraId="33813531"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Opći cilj programa je poboljšanje kvalitete života i podizanje životnog standarda građana koji zbog zdravstvenih razloga ili životne dobi nisu u mogućnosti brinuti se sami o sebi, a ista prava ne ostvaruju po drugoj osnovi.    </w:t>
      </w:r>
    </w:p>
    <w:p w14:paraId="7EE26D17"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4F8018D2"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dodijeljenih jednokratnih pomoći</w:t>
      </w:r>
    </w:p>
    <w:p w14:paraId="004507BC"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se u 2023. godine planiraju u iznosu od 75.135,89 €, a u izvještajnom razdoblju izvršena su u iznosu 70.405,53 €.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2A74E952" w14:textId="77777777" w:rsidTr="00127F02">
        <w:trPr>
          <w:trHeight w:val="582"/>
        </w:trPr>
        <w:tc>
          <w:tcPr>
            <w:tcW w:w="1738" w:type="dxa"/>
          </w:tcPr>
          <w:p w14:paraId="734669C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6F55A14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3193E38"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3A74B5F2"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47A4C37D" w14:textId="77777777" w:rsidTr="00127F02">
        <w:trPr>
          <w:trHeight w:val="655"/>
        </w:trPr>
        <w:tc>
          <w:tcPr>
            <w:tcW w:w="1738" w:type="dxa"/>
          </w:tcPr>
          <w:p w14:paraId="6227B18C"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P1015</w:t>
            </w:r>
          </w:p>
        </w:tc>
        <w:tc>
          <w:tcPr>
            <w:tcW w:w="2522" w:type="dxa"/>
          </w:tcPr>
          <w:p w14:paraId="27D341FF"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Program socijalne skrbi i novčane pomoći</w:t>
            </w:r>
          </w:p>
        </w:tc>
        <w:tc>
          <w:tcPr>
            <w:tcW w:w="2415" w:type="dxa"/>
          </w:tcPr>
          <w:p w14:paraId="6E9789F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75.135,89</w:t>
            </w:r>
          </w:p>
        </w:tc>
        <w:tc>
          <w:tcPr>
            <w:tcW w:w="2427" w:type="dxa"/>
          </w:tcPr>
          <w:p w14:paraId="4694704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70.405,53</w:t>
            </w:r>
          </w:p>
        </w:tc>
      </w:tr>
      <w:tr w:rsidR="00935AE9" w:rsidRPr="00935AE9" w14:paraId="06E3E0F1" w14:textId="77777777" w:rsidTr="00127F02">
        <w:trPr>
          <w:trHeight w:val="582"/>
        </w:trPr>
        <w:tc>
          <w:tcPr>
            <w:tcW w:w="1738" w:type="dxa"/>
          </w:tcPr>
          <w:p w14:paraId="16EC6EE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A100141</w:t>
            </w:r>
          </w:p>
        </w:tc>
        <w:tc>
          <w:tcPr>
            <w:tcW w:w="2522" w:type="dxa"/>
          </w:tcPr>
          <w:p w14:paraId="0766406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socijalno ugroženom stanovništvu</w:t>
            </w:r>
          </w:p>
        </w:tc>
        <w:tc>
          <w:tcPr>
            <w:tcW w:w="2415" w:type="dxa"/>
          </w:tcPr>
          <w:p w14:paraId="78C1454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26.108,91</w:t>
            </w:r>
          </w:p>
        </w:tc>
        <w:tc>
          <w:tcPr>
            <w:tcW w:w="2427" w:type="dxa"/>
          </w:tcPr>
          <w:p w14:paraId="298C4FF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21.378,55</w:t>
            </w:r>
          </w:p>
        </w:tc>
      </w:tr>
      <w:tr w:rsidR="00935AE9" w:rsidRPr="00935AE9" w14:paraId="744EDFBF" w14:textId="77777777" w:rsidTr="00127F02">
        <w:trPr>
          <w:trHeight w:val="582"/>
        </w:trPr>
        <w:tc>
          <w:tcPr>
            <w:tcW w:w="1738" w:type="dxa"/>
          </w:tcPr>
          <w:p w14:paraId="6F3931D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A100145</w:t>
            </w:r>
          </w:p>
        </w:tc>
        <w:tc>
          <w:tcPr>
            <w:tcW w:w="2522" w:type="dxa"/>
          </w:tcPr>
          <w:p w14:paraId="003A49C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Crveni križ</w:t>
            </w:r>
          </w:p>
        </w:tc>
        <w:tc>
          <w:tcPr>
            <w:tcW w:w="2415" w:type="dxa"/>
          </w:tcPr>
          <w:p w14:paraId="572DC33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8.626,98</w:t>
            </w:r>
          </w:p>
        </w:tc>
        <w:tc>
          <w:tcPr>
            <w:tcW w:w="2427" w:type="dxa"/>
          </w:tcPr>
          <w:p w14:paraId="11A7FAD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8.626,98</w:t>
            </w:r>
          </w:p>
        </w:tc>
      </w:tr>
      <w:tr w:rsidR="00935AE9" w:rsidRPr="00935AE9" w14:paraId="062D90F8" w14:textId="77777777" w:rsidTr="00127F02">
        <w:trPr>
          <w:trHeight w:val="582"/>
        </w:trPr>
        <w:tc>
          <w:tcPr>
            <w:tcW w:w="1738" w:type="dxa"/>
          </w:tcPr>
          <w:p w14:paraId="10EA93D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A100157</w:t>
            </w:r>
          </w:p>
        </w:tc>
        <w:tc>
          <w:tcPr>
            <w:tcW w:w="2522" w:type="dxa"/>
          </w:tcPr>
          <w:p w14:paraId="1236062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umirovljenicima</w:t>
            </w:r>
          </w:p>
        </w:tc>
        <w:tc>
          <w:tcPr>
            <w:tcW w:w="2415" w:type="dxa"/>
          </w:tcPr>
          <w:p w14:paraId="3D96F3B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15.400,00</w:t>
            </w:r>
          </w:p>
        </w:tc>
        <w:tc>
          <w:tcPr>
            <w:tcW w:w="2427" w:type="dxa"/>
          </w:tcPr>
          <w:p w14:paraId="63107C6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15.400,00</w:t>
            </w:r>
          </w:p>
          <w:p w14:paraId="0A80B1B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r>
      <w:tr w:rsidR="00935AE9" w:rsidRPr="00935AE9" w14:paraId="1D116A83" w14:textId="77777777" w:rsidTr="00127F02">
        <w:trPr>
          <w:trHeight w:val="582"/>
        </w:trPr>
        <w:tc>
          <w:tcPr>
            <w:tcW w:w="1738" w:type="dxa"/>
          </w:tcPr>
          <w:p w14:paraId="1D1F406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K100190</w:t>
            </w:r>
          </w:p>
        </w:tc>
        <w:tc>
          <w:tcPr>
            <w:tcW w:w="2522" w:type="dxa"/>
          </w:tcPr>
          <w:p w14:paraId="52F58B4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Kupovina nekretnine</w:t>
            </w:r>
          </w:p>
        </w:tc>
        <w:tc>
          <w:tcPr>
            <w:tcW w:w="2415" w:type="dxa"/>
          </w:tcPr>
          <w:p w14:paraId="30EBF11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25.000,00</w:t>
            </w:r>
          </w:p>
        </w:tc>
        <w:tc>
          <w:tcPr>
            <w:tcW w:w="2427" w:type="dxa"/>
          </w:tcPr>
          <w:p w14:paraId="668BD25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25.000,00</w:t>
            </w:r>
          </w:p>
        </w:tc>
      </w:tr>
    </w:tbl>
    <w:p w14:paraId="402FF6B0"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0B178247"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1016: Vatrogastvo i civilna zaštita</w:t>
      </w:r>
    </w:p>
    <w:p w14:paraId="1FED8415"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osiguravaju financijska sredstva potrebna za funkcioniranje DVD-a.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75F0EC7F"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36ADC04B"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dobrovoljnih vatrogasaca uključenih u dobrovoljna vatrogasna društva u sastavu</w:t>
      </w:r>
    </w:p>
    <w:p w14:paraId="42B6D656" w14:textId="77777777" w:rsidR="00935AE9" w:rsidRPr="00982FF1"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2023. godini planiraju se sredstva za provođenje Programa vatrogastva u iznosu od 52.145,66 €, a u izvještajnom razdoblju izvršena su u iznosu 50.537,79 €.</w:t>
      </w:r>
    </w:p>
    <w:p w14:paraId="26E31156" w14:textId="77777777" w:rsidR="00982FF1" w:rsidRPr="00982FF1" w:rsidRDefault="00982FF1" w:rsidP="00982FF1">
      <w:pPr>
        <w:spacing w:after="160" w:line="259" w:lineRule="auto"/>
        <w:jc w:val="both"/>
        <w:rPr>
          <w:rFonts w:ascii="Times New Roman" w:eastAsiaTheme="minorHAnsi" w:hAnsi="Times New Roman"/>
          <w:lang w:eastAsia="en-US"/>
          <w14:ligatures w14:val="standardContextual"/>
        </w:rPr>
      </w:pPr>
    </w:p>
    <w:p w14:paraId="1E8F6D59" w14:textId="77777777" w:rsidR="00982FF1" w:rsidRPr="00935AE9" w:rsidRDefault="00982FF1" w:rsidP="00982FF1">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47D10933" w14:textId="77777777" w:rsidTr="00127F02">
        <w:trPr>
          <w:trHeight w:val="582"/>
        </w:trPr>
        <w:tc>
          <w:tcPr>
            <w:tcW w:w="1738" w:type="dxa"/>
          </w:tcPr>
          <w:p w14:paraId="7B4979F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bookmarkStart w:id="4" w:name="_Hlk167794299"/>
          </w:p>
        </w:tc>
        <w:tc>
          <w:tcPr>
            <w:tcW w:w="2522" w:type="dxa"/>
          </w:tcPr>
          <w:p w14:paraId="4CD8883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29EF7D14"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639E37D6"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79E997CB" w14:textId="77777777" w:rsidTr="00127F02">
        <w:trPr>
          <w:trHeight w:val="655"/>
        </w:trPr>
        <w:tc>
          <w:tcPr>
            <w:tcW w:w="1738" w:type="dxa"/>
          </w:tcPr>
          <w:p w14:paraId="395AB80E"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P1016</w:t>
            </w:r>
          </w:p>
        </w:tc>
        <w:tc>
          <w:tcPr>
            <w:tcW w:w="2522" w:type="dxa"/>
          </w:tcPr>
          <w:p w14:paraId="6853B259"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Vatrogastvo i civilna zaštita</w:t>
            </w:r>
          </w:p>
        </w:tc>
        <w:tc>
          <w:tcPr>
            <w:tcW w:w="2415" w:type="dxa"/>
          </w:tcPr>
          <w:p w14:paraId="6DEDE23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52.145,66</w:t>
            </w:r>
          </w:p>
        </w:tc>
        <w:tc>
          <w:tcPr>
            <w:tcW w:w="2427" w:type="dxa"/>
          </w:tcPr>
          <w:p w14:paraId="5A0B2DD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50.537,79</w:t>
            </w:r>
          </w:p>
        </w:tc>
      </w:tr>
      <w:tr w:rsidR="00935AE9" w:rsidRPr="00935AE9" w14:paraId="0EBA30B2" w14:textId="77777777" w:rsidTr="00127F02">
        <w:trPr>
          <w:trHeight w:val="582"/>
        </w:trPr>
        <w:tc>
          <w:tcPr>
            <w:tcW w:w="1738" w:type="dxa"/>
          </w:tcPr>
          <w:p w14:paraId="1171440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A100147</w:t>
            </w:r>
          </w:p>
        </w:tc>
        <w:tc>
          <w:tcPr>
            <w:tcW w:w="2522" w:type="dxa"/>
          </w:tcPr>
          <w:p w14:paraId="414B8EF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Osnovna djelatnost vatrogasnog društva</w:t>
            </w:r>
          </w:p>
        </w:tc>
        <w:tc>
          <w:tcPr>
            <w:tcW w:w="2415" w:type="dxa"/>
          </w:tcPr>
          <w:p w14:paraId="0AB986E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49.762,14</w:t>
            </w:r>
          </w:p>
        </w:tc>
        <w:tc>
          <w:tcPr>
            <w:tcW w:w="2427" w:type="dxa"/>
          </w:tcPr>
          <w:p w14:paraId="0A7A3E7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49.087,15</w:t>
            </w:r>
          </w:p>
        </w:tc>
      </w:tr>
      <w:tr w:rsidR="00935AE9" w:rsidRPr="00935AE9" w14:paraId="5BC31AC9" w14:textId="77777777" w:rsidTr="00127F02">
        <w:trPr>
          <w:trHeight w:val="582"/>
        </w:trPr>
        <w:tc>
          <w:tcPr>
            <w:tcW w:w="1738" w:type="dxa"/>
          </w:tcPr>
          <w:p w14:paraId="17EAE69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A100148</w:t>
            </w:r>
          </w:p>
        </w:tc>
        <w:tc>
          <w:tcPr>
            <w:tcW w:w="2522" w:type="dxa"/>
          </w:tcPr>
          <w:p w14:paraId="299E1FF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Civilna zaštita</w:t>
            </w:r>
          </w:p>
        </w:tc>
        <w:tc>
          <w:tcPr>
            <w:tcW w:w="2415" w:type="dxa"/>
          </w:tcPr>
          <w:p w14:paraId="323CA45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2.383,52</w:t>
            </w:r>
          </w:p>
        </w:tc>
        <w:tc>
          <w:tcPr>
            <w:tcW w:w="2427" w:type="dxa"/>
          </w:tcPr>
          <w:p w14:paraId="5B79692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1.450,64</w:t>
            </w:r>
          </w:p>
        </w:tc>
      </w:tr>
      <w:bookmarkEnd w:id="4"/>
    </w:tbl>
    <w:p w14:paraId="66E77E43"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p w14:paraId="59E3CA19" w14:textId="77777777" w:rsidR="00935AE9" w:rsidRPr="00935AE9" w:rsidRDefault="00935AE9" w:rsidP="00982FF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1017: Društvene djelatnosti</w:t>
      </w:r>
    </w:p>
    <w:p w14:paraId="12CD014B"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5DB75669" w14:textId="77777777" w:rsidR="00935AE9" w:rsidRPr="00935AE9" w:rsidRDefault="00935AE9" w:rsidP="00982FF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5D7AF4E0"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vjerskih zajednica</w:t>
      </w:r>
    </w:p>
    <w:p w14:paraId="51112372"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broja djece koja pohađaju vrtić</w:t>
      </w:r>
    </w:p>
    <w:p w14:paraId="19899FBD"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sufinanciranih kupnji prve nekretnine</w:t>
      </w:r>
    </w:p>
    <w:p w14:paraId="4FC1C889"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i odobrenih projekata za izgradnju dječjeg vrtića</w:t>
      </w:r>
    </w:p>
    <w:p w14:paraId="5837166C"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2023. godini planiraju se u iznosu od 452.051,99 €, a u izvještajnom razdoblju izvršena su u iznosu 303.711,56 €.</w:t>
      </w:r>
    </w:p>
    <w:p w14:paraId="5464013A" w14:textId="77777777" w:rsidR="00935AE9" w:rsidRPr="00935AE9" w:rsidRDefault="00935AE9" w:rsidP="00982FF1">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05EFD2A3" w14:textId="77777777" w:rsidTr="00127F02">
        <w:trPr>
          <w:trHeight w:val="582"/>
        </w:trPr>
        <w:tc>
          <w:tcPr>
            <w:tcW w:w="1738" w:type="dxa"/>
          </w:tcPr>
          <w:p w14:paraId="1B8FFFA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E4FDE5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910C727"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73B51B93"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466F4B33" w14:textId="77777777" w:rsidTr="00127F02">
        <w:trPr>
          <w:trHeight w:val="655"/>
        </w:trPr>
        <w:tc>
          <w:tcPr>
            <w:tcW w:w="1738" w:type="dxa"/>
          </w:tcPr>
          <w:p w14:paraId="5C7070FC"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P1017</w:t>
            </w:r>
          </w:p>
        </w:tc>
        <w:tc>
          <w:tcPr>
            <w:tcW w:w="2522" w:type="dxa"/>
          </w:tcPr>
          <w:p w14:paraId="60AB4F1C"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Društvene djelatnosti</w:t>
            </w:r>
          </w:p>
        </w:tc>
        <w:tc>
          <w:tcPr>
            <w:tcW w:w="2415" w:type="dxa"/>
          </w:tcPr>
          <w:p w14:paraId="2706BDA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452.051,99</w:t>
            </w:r>
          </w:p>
        </w:tc>
        <w:tc>
          <w:tcPr>
            <w:tcW w:w="2427" w:type="dxa"/>
          </w:tcPr>
          <w:p w14:paraId="48A6EA1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303.711,56</w:t>
            </w:r>
          </w:p>
        </w:tc>
      </w:tr>
      <w:tr w:rsidR="00935AE9" w:rsidRPr="00935AE9" w14:paraId="57D59D1C" w14:textId="77777777" w:rsidTr="00127F02">
        <w:trPr>
          <w:trHeight w:val="582"/>
        </w:trPr>
        <w:tc>
          <w:tcPr>
            <w:tcW w:w="1738" w:type="dxa"/>
          </w:tcPr>
          <w:p w14:paraId="36A4AB0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A100140</w:t>
            </w:r>
          </w:p>
        </w:tc>
        <w:tc>
          <w:tcPr>
            <w:tcW w:w="2522" w:type="dxa"/>
          </w:tcPr>
          <w:p w14:paraId="6641508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Tekuće donacije vjerskim zajednicama</w:t>
            </w:r>
          </w:p>
        </w:tc>
        <w:tc>
          <w:tcPr>
            <w:tcW w:w="2415" w:type="dxa"/>
          </w:tcPr>
          <w:p w14:paraId="72BA4A7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19.600,00</w:t>
            </w:r>
          </w:p>
        </w:tc>
        <w:tc>
          <w:tcPr>
            <w:tcW w:w="2427" w:type="dxa"/>
          </w:tcPr>
          <w:p w14:paraId="6FC79CC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19.600,00</w:t>
            </w:r>
          </w:p>
        </w:tc>
      </w:tr>
      <w:tr w:rsidR="00935AE9" w:rsidRPr="00935AE9" w14:paraId="42350560" w14:textId="77777777" w:rsidTr="00127F02">
        <w:trPr>
          <w:trHeight w:val="582"/>
        </w:trPr>
        <w:tc>
          <w:tcPr>
            <w:tcW w:w="1738" w:type="dxa"/>
          </w:tcPr>
          <w:p w14:paraId="38F924E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A100149</w:t>
            </w:r>
          </w:p>
        </w:tc>
        <w:tc>
          <w:tcPr>
            <w:tcW w:w="2522" w:type="dxa"/>
          </w:tcPr>
          <w:p w14:paraId="49094A5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Obrazovanje</w:t>
            </w:r>
          </w:p>
        </w:tc>
        <w:tc>
          <w:tcPr>
            <w:tcW w:w="2415" w:type="dxa"/>
          </w:tcPr>
          <w:p w14:paraId="0475F40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c>
          <w:tcPr>
            <w:tcW w:w="2427" w:type="dxa"/>
          </w:tcPr>
          <w:p w14:paraId="3C2067A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3.135,00</w:t>
            </w:r>
          </w:p>
        </w:tc>
      </w:tr>
      <w:tr w:rsidR="00935AE9" w:rsidRPr="00935AE9" w14:paraId="6A9DB3ED" w14:textId="77777777" w:rsidTr="00127F02">
        <w:trPr>
          <w:trHeight w:val="582"/>
        </w:trPr>
        <w:tc>
          <w:tcPr>
            <w:tcW w:w="1738" w:type="dxa"/>
          </w:tcPr>
          <w:p w14:paraId="071C04F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A100153</w:t>
            </w:r>
          </w:p>
        </w:tc>
        <w:tc>
          <w:tcPr>
            <w:tcW w:w="2522" w:type="dxa"/>
          </w:tcPr>
          <w:p w14:paraId="58F6A64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Demografski razvitak općine Cerna</w:t>
            </w:r>
          </w:p>
        </w:tc>
        <w:tc>
          <w:tcPr>
            <w:tcW w:w="2415" w:type="dxa"/>
          </w:tcPr>
          <w:p w14:paraId="0956075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184.348,30</w:t>
            </w:r>
          </w:p>
        </w:tc>
        <w:tc>
          <w:tcPr>
            <w:tcW w:w="2427" w:type="dxa"/>
          </w:tcPr>
          <w:p w14:paraId="4464D07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171.949,87</w:t>
            </w:r>
          </w:p>
        </w:tc>
      </w:tr>
      <w:tr w:rsidR="00935AE9" w:rsidRPr="00935AE9" w14:paraId="0A9E3B90" w14:textId="77777777" w:rsidTr="00127F02">
        <w:trPr>
          <w:trHeight w:val="582"/>
        </w:trPr>
        <w:tc>
          <w:tcPr>
            <w:tcW w:w="1738" w:type="dxa"/>
          </w:tcPr>
          <w:p w14:paraId="3F0C775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A100166</w:t>
            </w:r>
          </w:p>
        </w:tc>
        <w:tc>
          <w:tcPr>
            <w:tcW w:w="2522" w:type="dxa"/>
          </w:tcPr>
          <w:p w14:paraId="5C4C3D0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Ostale društvene djelatnosti</w:t>
            </w:r>
          </w:p>
        </w:tc>
        <w:tc>
          <w:tcPr>
            <w:tcW w:w="2415" w:type="dxa"/>
          </w:tcPr>
          <w:p w14:paraId="73CEBE6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12.072,62</w:t>
            </w:r>
          </w:p>
        </w:tc>
        <w:tc>
          <w:tcPr>
            <w:tcW w:w="2427" w:type="dxa"/>
          </w:tcPr>
          <w:p w14:paraId="5D6BC62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9.822,37</w:t>
            </w:r>
          </w:p>
        </w:tc>
      </w:tr>
      <w:tr w:rsidR="00935AE9" w:rsidRPr="00935AE9" w14:paraId="41B38A85" w14:textId="77777777" w:rsidTr="00127F02">
        <w:trPr>
          <w:trHeight w:val="582"/>
        </w:trPr>
        <w:tc>
          <w:tcPr>
            <w:tcW w:w="1738" w:type="dxa"/>
          </w:tcPr>
          <w:p w14:paraId="735FB1E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K100135</w:t>
            </w:r>
          </w:p>
        </w:tc>
        <w:tc>
          <w:tcPr>
            <w:tcW w:w="2522" w:type="dxa"/>
          </w:tcPr>
          <w:p w14:paraId="39395D7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dječjeg vrtića</w:t>
            </w:r>
          </w:p>
        </w:tc>
        <w:tc>
          <w:tcPr>
            <w:tcW w:w="2415" w:type="dxa"/>
          </w:tcPr>
          <w:p w14:paraId="68C350A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230.260,80</w:t>
            </w:r>
          </w:p>
        </w:tc>
        <w:tc>
          <w:tcPr>
            <w:tcW w:w="2427" w:type="dxa"/>
          </w:tcPr>
          <w:p w14:paraId="27FA203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99.204,32</w:t>
            </w:r>
          </w:p>
        </w:tc>
      </w:tr>
      <w:tr w:rsidR="00935AE9" w:rsidRPr="00935AE9" w14:paraId="74D14754" w14:textId="77777777" w:rsidTr="00127F02">
        <w:trPr>
          <w:trHeight w:val="582"/>
        </w:trPr>
        <w:tc>
          <w:tcPr>
            <w:tcW w:w="1738" w:type="dxa"/>
          </w:tcPr>
          <w:p w14:paraId="1FD5D94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K100199</w:t>
            </w:r>
          </w:p>
        </w:tc>
        <w:tc>
          <w:tcPr>
            <w:tcW w:w="2522" w:type="dxa"/>
          </w:tcPr>
          <w:p w14:paraId="69FE0F4D"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Dodatna ulaganja u društvene objekte</w:t>
            </w:r>
          </w:p>
        </w:tc>
        <w:tc>
          <w:tcPr>
            <w:tcW w:w="2415" w:type="dxa"/>
          </w:tcPr>
          <w:p w14:paraId="529DDCE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5.770,27</w:t>
            </w:r>
          </w:p>
        </w:tc>
        <w:tc>
          <w:tcPr>
            <w:tcW w:w="2427" w:type="dxa"/>
          </w:tcPr>
          <w:p w14:paraId="0D2F90C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bl>
    <w:p w14:paraId="6F828379" w14:textId="77777777" w:rsidR="00935AE9" w:rsidRPr="00935AE9" w:rsidRDefault="00935AE9" w:rsidP="00982FF1">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1018: Razvoj turizma</w:t>
      </w:r>
    </w:p>
    <w:p w14:paraId="7CFA9EDB"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5AD38F6" w14:textId="77777777" w:rsidR="00935AE9" w:rsidRPr="00935AE9" w:rsidRDefault="00935AE9" w:rsidP="00982FF1">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516F0384"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dužina izgrađene biciklističko - pješačke staze (m)</w:t>
      </w:r>
    </w:p>
    <w:p w14:paraId="2AE6CA1A"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osigurana su u proračunu za 2023. godinu u iznosu 58.289,01 €, a izvršena u izvještajnom razdoblju u iznosu 44.532,86 €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7DEA7C53" w14:textId="77777777" w:rsidTr="00127F02">
        <w:trPr>
          <w:trHeight w:val="582"/>
        </w:trPr>
        <w:tc>
          <w:tcPr>
            <w:tcW w:w="1738" w:type="dxa"/>
          </w:tcPr>
          <w:p w14:paraId="72E4178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368100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3A3ACE68"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7D0D2FAA"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35783F17" w14:textId="77777777" w:rsidTr="00127F02">
        <w:trPr>
          <w:trHeight w:val="655"/>
        </w:trPr>
        <w:tc>
          <w:tcPr>
            <w:tcW w:w="1738" w:type="dxa"/>
          </w:tcPr>
          <w:p w14:paraId="27B067D3"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P1018</w:t>
            </w:r>
          </w:p>
        </w:tc>
        <w:tc>
          <w:tcPr>
            <w:tcW w:w="2522" w:type="dxa"/>
          </w:tcPr>
          <w:p w14:paraId="358BE43E"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Razvoj turizma</w:t>
            </w:r>
          </w:p>
        </w:tc>
        <w:tc>
          <w:tcPr>
            <w:tcW w:w="2415" w:type="dxa"/>
          </w:tcPr>
          <w:p w14:paraId="52BFE92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58.289,01</w:t>
            </w:r>
          </w:p>
        </w:tc>
        <w:tc>
          <w:tcPr>
            <w:tcW w:w="2427" w:type="dxa"/>
          </w:tcPr>
          <w:p w14:paraId="276053B6"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44.532,86</w:t>
            </w:r>
          </w:p>
        </w:tc>
      </w:tr>
      <w:tr w:rsidR="00935AE9" w:rsidRPr="00935AE9" w14:paraId="6F6620CB" w14:textId="77777777" w:rsidTr="00127F02">
        <w:trPr>
          <w:trHeight w:val="582"/>
        </w:trPr>
        <w:tc>
          <w:tcPr>
            <w:tcW w:w="1738" w:type="dxa"/>
          </w:tcPr>
          <w:p w14:paraId="6119244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K100122</w:t>
            </w:r>
          </w:p>
        </w:tc>
        <w:tc>
          <w:tcPr>
            <w:tcW w:w="2522" w:type="dxa"/>
          </w:tcPr>
          <w:p w14:paraId="1C90B5B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Sanacija pješačke staze u Velikoj Cerni</w:t>
            </w:r>
          </w:p>
        </w:tc>
        <w:tc>
          <w:tcPr>
            <w:tcW w:w="2415" w:type="dxa"/>
          </w:tcPr>
          <w:p w14:paraId="7698211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45.016,73</w:t>
            </w:r>
          </w:p>
        </w:tc>
        <w:tc>
          <w:tcPr>
            <w:tcW w:w="2427" w:type="dxa"/>
          </w:tcPr>
          <w:p w14:paraId="453A79F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44.532,86</w:t>
            </w:r>
          </w:p>
        </w:tc>
      </w:tr>
      <w:tr w:rsidR="00935AE9" w:rsidRPr="00935AE9" w14:paraId="3E2098E6" w14:textId="77777777" w:rsidTr="00127F02">
        <w:trPr>
          <w:trHeight w:val="582"/>
        </w:trPr>
        <w:tc>
          <w:tcPr>
            <w:tcW w:w="1738" w:type="dxa"/>
          </w:tcPr>
          <w:p w14:paraId="3C04F5B2"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A100205</w:t>
            </w:r>
          </w:p>
        </w:tc>
        <w:tc>
          <w:tcPr>
            <w:tcW w:w="2522" w:type="dxa"/>
          </w:tcPr>
          <w:p w14:paraId="2552818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biciklističko-pješačke staze u ulici B. Radića</w:t>
            </w:r>
          </w:p>
        </w:tc>
        <w:tc>
          <w:tcPr>
            <w:tcW w:w="2415" w:type="dxa"/>
          </w:tcPr>
          <w:p w14:paraId="693F3BE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13.272,28</w:t>
            </w:r>
          </w:p>
        </w:tc>
        <w:tc>
          <w:tcPr>
            <w:tcW w:w="2427" w:type="dxa"/>
          </w:tcPr>
          <w:p w14:paraId="39E916E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bl>
    <w:p w14:paraId="03968880"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p>
    <w:p w14:paraId="40FF3AEA" w14:textId="77777777" w:rsidR="00935AE9" w:rsidRPr="00935AE9" w:rsidRDefault="00935AE9" w:rsidP="00982FF1">
      <w:pPr>
        <w:spacing w:after="160" w:line="240" w:lineRule="auto"/>
        <w:jc w:val="both"/>
        <w:rPr>
          <w:rFonts w:ascii="Times New Roman" w:eastAsiaTheme="minorHAnsi" w:hAnsi="Times New Roman"/>
          <w:b/>
          <w:bCs/>
          <w:i/>
          <w:iCs/>
          <w:lang w:eastAsia="en-US"/>
          <w14:ligatures w14:val="standardContextual"/>
        </w:rPr>
      </w:pPr>
    </w:p>
    <w:p w14:paraId="1A84077D" w14:textId="77777777" w:rsidR="00935AE9" w:rsidRPr="00935AE9" w:rsidRDefault="00935AE9" w:rsidP="00982FF1">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1019: Aktivna politika zapošljavanja</w:t>
      </w:r>
    </w:p>
    <w:p w14:paraId="56201023"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se odnosi na aktivnu politiku zapošljavanja kroz program Zaželi </w:t>
      </w:r>
    </w:p>
    <w:p w14:paraId="271804BB" w14:textId="77777777" w:rsidR="00935AE9" w:rsidRPr="00935AE9" w:rsidRDefault="00935AE9" w:rsidP="00982FF1">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5F7A30A1"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žena zaposlenih kroz program Zaželi</w:t>
      </w:r>
    </w:p>
    <w:p w14:paraId="6DA88141"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realizaciju ovog programa u 2023. godini se planiraju se u iznosu od 135.638,68 €, a izvršeno je u iznosu 135.638,68 €.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21F67809" w14:textId="77777777" w:rsidTr="00127F02">
        <w:trPr>
          <w:trHeight w:val="582"/>
        </w:trPr>
        <w:tc>
          <w:tcPr>
            <w:tcW w:w="1738" w:type="dxa"/>
          </w:tcPr>
          <w:p w14:paraId="7473829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0E669F60"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1FCCD5E"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2A5F3810"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07F4B419" w14:textId="77777777" w:rsidTr="00127F02">
        <w:trPr>
          <w:trHeight w:val="655"/>
        </w:trPr>
        <w:tc>
          <w:tcPr>
            <w:tcW w:w="1738" w:type="dxa"/>
          </w:tcPr>
          <w:p w14:paraId="0767A9EB"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P1019</w:t>
            </w:r>
          </w:p>
        </w:tc>
        <w:tc>
          <w:tcPr>
            <w:tcW w:w="2522" w:type="dxa"/>
          </w:tcPr>
          <w:p w14:paraId="2EEE5C23"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Aktivna politika zapošljavanja</w:t>
            </w:r>
          </w:p>
        </w:tc>
        <w:tc>
          <w:tcPr>
            <w:tcW w:w="2415" w:type="dxa"/>
          </w:tcPr>
          <w:p w14:paraId="0951744C"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135.638,68</w:t>
            </w:r>
          </w:p>
        </w:tc>
        <w:tc>
          <w:tcPr>
            <w:tcW w:w="2427" w:type="dxa"/>
          </w:tcPr>
          <w:p w14:paraId="14E74953"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135.638,68</w:t>
            </w:r>
          </w:p>
        </w:tc>
      </w:tr>
      <w:tr w:rsidR="00935AE9" w:rsidRPr="00935AE9" w14:paraId="2A3E4ABE" w14:textId="77777777" w:rsidTr="00127F02">
        <w:trPr>
          <w:trHeight w:val="582"/>
        </w:trPr>
        <w:tc>
          <w:tcPr>
            <w:tcW w:w="1738" w:type="dxa"/>
          </w:tcPr>
          <w:p w14:paraId="51ADC65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T100144</w:t>
            </w:r>
          </w:p>
        </w:tc>
        <w:tc>
          <w:tcPr>
            <w:tcW w:w="2522" w:type="dxa"/>
          </w:tcPr>
          <w:p w14:paraId="12A0198F"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starijima i nemoćnima- Program Zaželi faza III.</w:t>
            </w:r>
          </w:p>
        </w:tc>
        <w:tc>
          <w:tcPr>
            <w:tcW w:w="2415" w:type="dxa"/>
          </w:tcPr>
          <w:p w14:paraId="23013DC5"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135.638,68</w:t>
            </w:r>
          </w:p>
        </w:tc>
        <w:tc>
          <w:tcPr>
            <w:tcW w:w="2427" w:type="dxa"/>
          </w:tcPr>
          <w:p w14:paraId="01AB789A"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135.638,68</w:t>
            </w:r>
          </w:p>
        </w:tc>
      </w:tr>
    </w:tbl>
    <w:p w14:paraId="32C6279B" w14:textId="77777777" w:rsidR="00935AE9" w:rsidRDefault="00935AE9" w:rsidP="00982FF1">
      <w:pPr>
        <w:spacing w:after="160" w:line="240" w:lineRule="auto"/>
        <w:jc w:val="both"/>
        <w:rPr>
          <w:rFonts w:ascii="Times New Roman" w:eastAsiaTheme="minorHAnsi" w:hAnsi="Times New Roman"/>
          <w:lang w:eastAsia="en-US"/>
          <w14:ligatures w14:val="standardContextual"/>
        </w:rPr>
      </w:pPr>
    </w:p>
    <w:p w14:paraId="535D47A8" w14:textId="77777777" w:rsidR="00982FF1" w:rsidRDefault="00982FF1" w:rsidP="00982FF1">
      <w:pPr>
        <w:spacing w:after="160" w:line="240" w:lineRule="auto"/>
        <w:jc w:val="both"/>
        <w:rPr>
          <w:rFonts w:ascii="Times New Roman" w:eastAsiaTheme="minorHAnsi" w:hAnsi="Times New Roman"/>
          <w:lang w:eastAsia="en-US"/>
          <w14:ligatures w14:val="standardContextual"/>
        </w:rPr>
      </w:pPr>
    </w:p>
    <w:p w14:paraId="66ACDF1B" w14:textId="77777777" w:rsidR="00982FF1" w:rsidRDefault="00982FF1" w:rsidP="00982FF1">
      <w:pPr>
        <w:spacing w:after="160" w:line="240" w:lineRule="auto"/>
        <w:jc w:val="both"/>
        <w:rPr>
          <w:rFonts w:ascii="Times New Roman" w:eastAsiaTheme="minorHAnsi" w:hAnsi="Times New Roman"/>
          <w:lang w:eastAsia="en-US"/>
          <w14:ligatures w14:val="standardContextual"/>
        </w:rPr>
      </w:pPr>
    </w:p>
    <w:p w14:paraId="53B897DA" w14:textId="77777777" w:rsidR="00982FF1" w:rsidRDefault="00982FF1" w:rsidP="00982FF1">
      <w:pPr>
        <w:spacing w:after="160" w:line="240" w:lineRule="auto"/>
        <w:jc w:val="both"/>
        <w:rPr>
          <w:rFonts w:ascii="Times New Roman" w:eastAsiaTheme="minorHAnsi" w:hAnsi="Times New Roman"/>
          <w:lang w:eastAsia="en-US"/>
          <w14:ligatures w14:val="standardContextual"/>
        </w:rPr>
      </w:pPr>
    </w:p>
    <w:p w14:paraId="11EFB69E" w14:textId="77777777" w:rsidR="00982FF1" w:rsidRPr="00935AE9" w:rsidRDefault="00982FF1" w:rsidP="00982FF1">
      <w:pPr>
        <w:spacing w:after="160" w:line="240" w:lineRule="auto"/>
        <w:jc w:val="both"/>
        <w:rPr>
          <w:rFonts w:ascii="Times New Roman" w:eastAsiaTheme="minorHAnsi" w:hAnsi="Times New Roman"/>
          <w:lang w:eastAsia="en-US"/>
          <w14:ligatures w14:val="standardContextual"/>
        </w:rPr>
      </w:pPr>
    </w:p>
    <w:p w14:paraId="76EA21D9" w14:textId="77777777" w:rsidR="00935AE9" w:rsidRPr="00935AE9" w:rsidRDefault="00935AE9" w:rsidP="00982FF1">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1021: Olujno nevrijeme</w:t>
      </w:r>
    </w:p>
    <w:p w14:paraId="0F21790C"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se odnosi na sanaciju štete na području Općine Cerna koja je nastala uslijed olujnog nevremena 19. i 21. srpnja 2023. godine.</w:t>
      </w:r>
    </w:p>
    <w:p w14:paraId="122D748A" w14:textId="77777777" w:rsidR="00935AE9" w:rsidRPr="00935AE9" w:rsidRDefault="00935AE9" w:rsidP="00982FF1">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74DC87EE"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saniranih krovišta na obiteljskim kućama</w:t>
      </w:r>
    </w:p>
    <w:p w14:paraId="4B579F56"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refundiranih računa fizičkih osoba</w:t>
      </w:r>
    </w:p>
    <w:p w14:paraId="7B88730A"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refundiranih računa pravnih osoba</w:t>
      </w:r>
    </w:p>
    <w:p w14:paraId="3CB24DCE"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proračunu 2023. godine se nisu planirala, zbog svoje nepredvidivosti. U III. Izmjenama i dopunama pretpostavio se iznos od 732.737,94 € kojeg će dijelom refundirati VSŽ a dijelom Općina svojim vlastitim sredstvima te donacijama pojedinih firmi i fizičkih osoba koji su svoja sredstva uplatila na temelju poziva Općinskog načelnika za sakupljanje pomoći za sanaciju štete nastale na krovištima obiteljskih kuća. Realizirani iznos je 665.691,36 €.</w:t>
      </w:r>
    </w:p>
    <w:tbl>
      <w:tblPr>
        <w:tblStyle w:val="Reetkatablice"/>
        <w:tblW w:w="0" w:type="auto"/>
        <w:tblLook w:val="04A0" w:firstRow="1" w:lastRow="0" w:firstColumn="1" w:lastColumn="0" w:noHBand="0" w:noVBand="1"/>
      </w:tblPr>
      <w:tblGrid>
        <w:gridCol w:w="1738"/>
        <w:gridCol w:w="2522"/>
        <w:gridCol w:w="2415"/>
        <w:gridCol w:w="2427"/>
      </w:tblGrid>
      <w:tr w:rsidR="00935AE9" w:rsidRPr="00935AE9" w14:paraId="4306FF6C" w14:textId="77777777" w:rsidTr="00127F02">
        <w:trPr>
          <w:trHeight w:val="582"/>
        </w:trPr>
        <w:tc>
          <w:tcPr>
            <w:tcW w:w="1738" w:type="dxa"/>
          </w:tcPr>
          <w:p w14:paraId="1F5FA564"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358A0BB"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6A1AF0A3"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Plan proračuna 2023. (€)</w:t>
            </w:r>
          </w:p>
        </w:tc>
        <w:tc>
          <w:tcPr>
            <w:tcW w:w="2427" w:type="dxa"/>
          </w:tcPr>
          <w:p w14:paraId="268E7ABA"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Ostvareno 2023. (€)</w:t>
            </w:r>
          </w:p>
        </w:tc>
      </w:tr>
      <w:tr w:rsidR="00935AE9" w:rsidRPr="00935AE9" w14:paraId="2FFD3A13" w14:textId="77777777" w:rsidTr="00127F02">
        <w:trPr>
          <w:trHeight w:val="655"/>
        </w:trPr>
        <w:tc>
          <w:tcPr>
            <w:tcW w:w="1738" w:type="dxa"/>
          </w:tcPr>
          <w:p w14:paraId="7E81A181"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P1021</w:t>
            </w:r>
          </w:p>
        </w:tc>
        <w:tc>
          <w:tcPr>
            <w:tcW w:w="2522" w:type="dxa"/>
          </w:tcPr>
          <w:p w14:paraId="4E1DD8CF" w14:textId="77777777" w:rsidR="00935AE9" w:rsidRPr="00935AE9" w:rsidRDefault="00935AE9" w:rsidP="00982FF1">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Olujno nevrijeme</w:t>
            </w:r>
          </w:p>
        </w:tc>
        <w:tc>
          <w:tcPr>
            <w:tcW w:w="2415" w:type="dxa"/>
          </w:tcPr>
          <w:p w14:paraId="6A135C48"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732.737,94</w:t>
            </w:r>
          </w:p>
        </w:tc>
        <w:tc>
          <w:tcPr>
            <w:tcW w:w="2427" w:type="dxa"/>
          </w:tcPr>
          <w:p w14:paraId="03C8234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665.971,36</w:t>
            </w:r>
          </w:p>
        </w:tc>
      </w:tr>
      <w:tr w:rsidR="00935AE9" w:rsidRPr="00935AE9" w14:paraId="2AABAFD8" w14:textId="77777777" w:rsidTr="00127F02">
        <w:trPr>
          <w:trHeight w:val="582"/>
        </w:trPr>
        <w:tc>
          <w:tcPr>
            <w:tcW w:w="1738" w:type="dxa"/>
          </w:tcPr>
          <w:p w14:paraId="20A9ACFE"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A100198</w:t>
            </w:r>
          </w:p>
        </w:tc>
        <w:tc>
          <w:tcPr>
            <w:tcW w:w="2522" w:type="dxa"/>
          </w:tcPr>
          <w:p w14:paraId="285E47B1"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Olujno nevrijeme- elementarna nepogoda</w:t>
            </w:r>
          </w:p>
        </w:tc>
        <w:tc>
          <w:tcPr>
            <w:tcW w:w="2415" w:type="dxa"/>
          </w:tcPr>
          <w:p w14:paraId="43F12CB7"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735.737,94</w:t>
            </w:r>
          </w:p>
        </w:tc>
        <w:tc>
          <w:tcPr>
            <w:tcW w:w="2427" w:type="dxa"/>
          </w:tcPr>
          <w:p w14:paraId="164D3309" w14:textId="77777777" w:rsidR="00935AE9" w:rsidRPr="00935AE9" w:rsidRDefault="00935AE9" w:rsidP="00982FF1">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665.971,36</w:t>
            </w:r>
          </w:p>
        </w:tc>
      </w:tr>
    </w:tbl>
    <w:p w14:paraId="1785C790" w14:textId="77777777" w:rsidR="00935AE9" w:rsidRPr="00935AE9" w:rsidRDefault="00935AE9" w:rsidP="00982FF1">
      <w:pPr>
        <w:spacing w:after="160" w:line="240" w:lineRule="auto"/>
        <w:jc w:val="both"/>
        <w:rPr>
          <w:rFonts w:ascii="Times New Roman" w:eastAsiaTheme="minorHAnsi" w:hAnsi="Times New Roman"/>
          <w:lang w:eastAsia="en-US"/>
          <w14:ligatures w14:val="standardContextual"/>
        </w:rPr>
      </w:pPr>
    </w:p>
    <w:p w14:paraId="0245ADD7" w14:textId="77777777" w:rsidR="00935AE9" w:rsidRDefault="00935AE9" w:rsidP="00935AE9">
      <w:pPr>
        <w:spacing w:after="160" w:line="259" w:lineRule="auto"/>
        <w:rPr>
          <w:rFonts w:ascii="Times New Roman" w:eastAsiaTheme="minorHAnsi" w:hAnsi="Times New Roman"/>
          <w:lang w:eastAsia="en-US"/>
          <w14:ligatures w14:val="standardContextual"/>
        </w:rPr>
      </w:pPr>
    </w:p>
    <w:p w14:paraId="17A60DE3"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476372AE"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43241BFA"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7705DA0A"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015F55DF"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3287E040"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626883E8"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3A748B72"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0BC442F6"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37B0CE85" w14:textId="77777777" w:rsidR="00982FF1" w:rsidRDefault="00982FF1" w:rsidP="00935AE9">
      <w:pPr>
        <w:spacing w:after="160" w:line="259" w:lineRule="auto"/>
        <w:rPr>
          <w:rFonts w:ascii="Times New Roman" w:eastAsiaTheme="minorHAnsi" w:hAnsi="Times New Roman"/>
          <w:lang w:eastAsia="en-US"/>
          <w14:ligatures w14:val="standardContextual"/>
        </w:rPr>
      </w:pPr>
    </w:p>
    <w:p w14:paraId="47768E80" w14:textId="77777777" w:rsidR="00982FF1" w:rsidRPr="00935AE9" w:rsidRDefault="00982FF1" w:rsidP="00935AE9">
      <w:pPr>
        <w:spacing w:after="160" w:line="259" w:lineRule="auto"/>
        <w:rPr>
          <w:rFonts w:ascii="Times New Roman" w:eastAsiaTheme="minorHAnsi" w:hAnsi="Times New Roman"/>
          <w:lang w:eastAsia="en-US"/>
          <w14:ligatures w14:val="standardContextual"/>
        </w:rPr>
      </w:pPr>
    </w:p>
    <w:p w14:paraId="462AD25E"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73D54201" w14:textId="77777777" w:rsidR="00935AE9" w:rsidRPr="00935AE9" w:rsidRDefault="00935AE9" w:rsidP="00935AE9">
      <w:pPr>
        <w:spacing w:after="160" w:line="259" w:lineRule="auto"/>
        <w:rPr>
          <w:rFonts w:ascii="Times New Roman" w:eastAsiaTheme="minorHAnsi" w:hAnsi="Times New Roman"/>
          <w:lang w:eastAsia="en-US"/>
          <w14:ligatures w14:val="standardContextual"/>
        </w:rPr>
      </w:pPr>
    </w:p>
    <w:p w14:paraId="575219BF" w14:textId="77777777" w:rsidR="00935AE9" w:rsidRPr="00935AE9" w:rsidRDefault="00935AE9" w:rsidP="00935AE9">
      <w:pPr>
        <w:suppressAutoHyphens/>
        <w:autoSpaceDN w:val="0"/>
        <w:spacing w:after="160" w:line="254" w:lineRule="auto"/>
        <w:jc w:val="center"/>
        <w:rPr>
          <w:rFonts w:ascii="Times New Roman" w:eastAsia="Calibri" w:hAnsi="Times New Roman"/>
          <w:b/>
          <w:bCs/>
          <w:kern w:val="3"/>
          <w:lang w:eastAsia="en-US"/>
        </w:rPr>
      </w:pPr>
    </w:p>
    <w:p w14:paraId="3FD671B8" w14:textId="51E814C3" w:rsidR="00EF4B1F" w:rsidRDefault="00982FF1" w:rsidP="00982FF1">
      <w:pPr>
        <w:pStyle w:val="Odlomakpopisa"/>
        <w:numPr>
          <w:ilvl w:val="0"/>
          <w:numId w:val="11"/>
        </w:numPr>
        <w:spacing w:line="240" w:lineRule="auto"/>
        <w:jc w:val="both"/>
        <w:rPr>
          <w:rFonts w:ascii="Times New Roman" w:hAnsi="Times New Roman"/>
          <w:b/>
          <w:bCs/>
        </w:rPr>
      </w:pPr>
      <w:r>
        <w:rPr>
          <w:rFonts w:ascii="Times New Roman" w:hAnsi="Times New Roman"/>
          <w:b/>
          <w:bCs/>
        </w:rPr>
        <w:lastRenderedPageBreak/>
        <w:t>POSEBNI IZVJEŠTAJI U GODIŠNJEM IZVJEŠTAJU O IZVRŠENJU PRORAČUNA</w:t>
      </w:r>
    </w:p>
    <w:p w14:paraId="4B4AB50B" w14:textId="2DB1C892" w:rsidR="00982FF1" w:rsidRDefault="00982FF1" w:rsidP="00982FF1">
      <w:pPr>
        <w:spacing w:line="240" w:lineRule="auto"/>
        <w:jc w:val="both"/>
        <w:rPr>
          <w:rFonts w:ascii="Times New Roman" w:hAnsi="Times New Roman"/>
          <w:b/>
          <w:bCs/>
        </w:rPr>
      </w:pPr>
      <w:r>
        <w:rPr>
          <w:rFonts w:ascii="Times New Roman" w:hAnsi="Times New Roman"/>
          <w:b/>
          <w:bCs/>
        </w:rPr>
        <w:t>3.1.  IZVJEŠTAJ O KORIŠTENJU PRORAČUNSKE ZALIHE</w:t>
      </w:r>
    </w:p>
    <w:p w14:paraId="7CAEC274" w14:textId="77777777" w:rsidR="00982FF1" w:rsidRPr="00982FF1" w:rsidRDefault="00982FF1" w:rsidP="00982FF1">
      <w:pPr>
        <w:spacing w:after="0" w:line="240" w:lineRule="auto"/>
        <w:jc w:val="both"/>
        <w:rPr>
          <w:rFonts w:ascii="Times New Roman" w:eastAsia="Calibri" w:hAnsi="Times New Roman"/>
          <w:lang w:eastAsia="en-US"/>
        </w:rPr>
      </w:pPr>
      <w:r w:rsidRPr="00982FF1">
        <w:rPr>
          <w:rFonts w:ascii="Times New Roman" w:hAnsi="Times New Roman"/>
        </w:rPr>
        <w:t xml:space="preserve">Sukladno članku 65. Zakona o proračunu (Narodne novine broj 144/21) i članka </w:t>
      </w:r>
      <w:r w:rsidRPr="00982FF1">
        <w:rPr>
          <w:rFonts w:ascii="Times New Roman" w:eastAsia="Calibri" w:hAnsi="Times New Roman"/>
          <w:lang w:eastAsia="en-US"/>
        </w:rPr>
        <w:t xml:space="preserve">10. Odluke o izvršenju Proračuna Općine Cerna za 2023. godinu </w:t>
      </w:r>
      <w:r w:rsidRPr="00982FF1">
        <w:rPr>
          <w:rFonts w:ascii="Times New Roman" w:hAnsi="Times New Roman"/>
        </w:rPr>
        <w:t>sredstva proračunske zalihe mogu se koristiti za hitne i nepredviđene rashode koji se pojave tokom proračunske godine za koje u proračunu nisu osigurana sredstva.</w:t>
      </w:r>
    </w:p>
    <w:p w14:paraId="5766C4D0" w14:textId="77777777" w:rsidR="00982FF1" w:rsidRPr="00982FF1" w:rsidRDefault="00982FF1" w:rsidP="00982FF1">
      <w:pPr>
        <w:spacing w:after="0" w:line="240" w:lineRule="auto"/>
        <w:jc w:val="both"/>
        <w:rPr>
          <w:rFonts w:ascii="Times New Roman" w:hAnsi="Times New Roman"/>
        </w:rPr>
      </w:pPr>
    </w:p>
    <w:p w14:paraId="1C995654" w14:textId="77777777" w:rsidR="00982FF1" w:rsidRPr="00982FF1" w:rsidRDefault="00982FF1" w:rsidP="00982FF1">
      <w:pPr>
        <w:spacing w:after="0" w:line="240" w:lineRule="auto"/>
        <w:jc w:val="both"/>
        <w:rPr>
          <w:rFonts w:ascii="Times New Roman" w:hAnsi="Times New Roman"/>
        </w:rPr>
      </w:pPr>
      <w:r w:rsidRPr="00982FF1">
        <w:rPr>
          <w:rFonts w:ascii="Times New Roman" w:hAnsi="Times New Roman"/>
        </w:rPr>
        <w:t>Sredstva se mogu koristiti za financiranje rashoda nastalih pri otklanjanju posljedica elementarnih nepogoda, epidemija, ekoloških nesreća ili izvanrednih događaja i ostalih nepredvidivih nesreća, te za druge nepredviđene rashode tijekom godine.</w:t>
      </w:r>
    </w:p>
    <w:p w14:paraId="4191842C" w14:textId="77777777" w:rsidR="00982FF1" w:rsidRPr="00982FF1" w:rsidRDefault="00982FF1" w:rsidP="00982FF1">
      <w:pPr>
        <w:suppressAutoHyphens/>
        <w:autoSpaceDE w:val="0"/>
        <w:autoSpaceDN w:val="0"/>
        <w:spacing w:after="0" w:line="240" w:lineRule="auto"/>
        <w:rPr>
          <w:rFonts w:ascii="Times New Roman" w:eastAsia="Calibri" w:hAnsi="Times New Roman"/>
          <w:sz w:val="24"/>
          <w:szCs w:val="24"/>
          <w:lang w:eastAsia="en-US"/>
        </w:rPr>
      </w:pPr>
    </w:p>
    <w:p w14:paraId="0688538B" w14:textId="77777777" w:rsidR="00982FF1" w:rsidRPr="00982FF1" w:rsidRDefault="00982FF1" w:rsidP="00982FF1">
      <w:pPr>
        <w:spacing w:after="0" w:line="240" w:lineRule="auto"/>
        <w:rPr>
          <w:rFonts w:ascii="Times New Roman" w:hAnsi="Times New Roman"/>
        </w:rPr>
      </w:pPr>
      <w:r w:rsidRPr="00982FF1">
        <w:rPr>
          <w:rFonts w:ascii="Times New Roman" w:hAnsi="Times New Roman"/>
        </w:rPr>
        <w:t>U 2023. godini nisu korištena sredstva proračunske zalihe.</w:t>
      </w:r>
    </w:p>
    <w:p w14:paraId="36F9C0E1" w14:textId="77777777" w:rsidR="00982FF1" w:rsidRPr="00982FF1" w:rsidRDefault="00982FF1" w:rsidP="00982FF1">
      <w:pPr>
        <w:spacing w:after="160" w:line="259" w:lineRule="auto"/>
        <w:rPr>
          <w:rFonts w:ascii="Times New Roman" w:eastAsiaTheme="minorHAnsi" w:hAnsi="Times New Roman"/>
          <w:b/>
          <w:bCs/>
          <w:lang w:eastAsia="en-US"/>
          <w14:ligatures w14:val="standardContextual"/>
        </w:rPr>
      </w:pPr>
    </w:p>
    <w:p w14:paraId="26695939" w14:textId="18094659" w:rsidR="00982FF1" w:rsidRPr="00982FF1" w:rsidRDefault="00982FF1" w:rsidP="00982FF1">
      <w:pPr>
        <w:spacing w:after="160" w:line="259"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 xml:space="preserve">3.2. </w:t>
      </w:r>
      <w:r w:rsidRPr="00982FF1">
        <w:rPr>
          <w:rFonts w:ascii="Times New Roman" w:eastAsiaTheme="minorHAnsi" w:hAnsi="Times New Roman"/>
          <w:b/>
          <w:bCs/>
          <w:lang w:eastAsia="en-US"/>
          <w14:ligatures w14:val="standardContextual"/>
        </w:rPr>
        <w:t>IZVJEŠTAJ O ZADUŽIVANJU NA DOMAĆEM I STRANOM TRŽIŠTU NOVCA I KAPITALA</w:t>
      </w:r>
    </w:p>
    <w:p w14:paraId="32909F3F" w14:textId="77777777" w:rsidR="00982FF1" w:rsidRPr="00982FF1" w:rsidRDefault="00982FF1" w:rsidP="00982FF1">
      <w:pPr>
        <w:spacing w:after="0" w:line="240" w:lineRule="auto"/>
        <w:jc w:val="both"/>
        <w:rPr>
          <w:rFonts w:ascii="Times New Roman" w:hAnsi="Times New Roman"/>
        </w:rPr>
      </w:pPr>
      <w:r w:rsidRPr="00982FF1">
        <w:rPr>
          <w:rFonts w:ascii="Times New Roman" w:hAnsi="Times New Roman"/>
        </w:rPr>
        <w:t xml:space="preserve">Izvještaj o zaduživanju na domaćem i stranom tržištu novca i kapitala daje pregled zaduživanja po dugoročnim kreditima, zajmovima i vrijednosnim papirima koje je ugovorila i preuzela jedinica lokalne i područne (regionalne) samouprave u izvještajnom razdoblju, po vrsti instrumenata, valutnoj, kamatnoj i ročnoj strukturi. </w:t>
      </w:r>
    </w:p>
    <w:p w14:paraId="713A0EEC" w14:textId="77777777" w:rsidR="00982FF1" w:rsidRPr="00982FF1" w:rsidRDefault="00982FF1" w:rsidP="00982FF1">
      <w:pPr>
        <w:spacing w:after="0" w:line="240" w:lineRule="auto"/>
        <w:jc w:val="both"/>
        <w:rPr>
          <w:rFonts w:ascii="Times New Roman" w:hAnsi="Times New Roman"/>
        </w:rPr>
      </w:pPr>
    </w:p>
    <w:p w14:paraId="5B5B682C" w14:textId="77777777" w:rsidR="00982FF1" w:rsidRPr="00982FF1" w:rsidRDefault="00982FF1" w:rsidP="00982FF1">
      <w:pPr>
        <w:spacing w:after="0" w:line="240" w:lineRule="auto"/>
        <w:jc w:val="both"/>
        <w:rPr>
          <w:rFonts w:ascii="Times New Roman" w:hAnsi="Times New Roman"/>
        </w:rPr>
      </w:pPr>
      <w:r w:rsidRPr="00982FF1">
        <w:rPr>
          <w:rFonts w:ascii="Times New Roman" w:eastAsia="Calibri" w:hAnsi="Times New Roman"/>
          <w:lang w:eastAsia="en-US"/>
        </w:rPr>
        <w:t xml:space="preserve">Člankom 14. Odluke o izvršenju Proračuna Općine Cerna za 2023. godinu </w:t>
      </w:r>
      <w:r w:rsidRPr="00982FF1">
        <w:rPr>
          <w:rFonts w:ascii="Times New Roman" w:hAnsi="Times New Roman"/>
        </w:rPr>
        <w:t>propisano je da se općina može dugoročno zadužiti za kapitalna ulaganja – investicije koja se financira iz njezina proračuna, a koju potvrdi Općinsko vijeće uz prethodnu suglasnost Vlade.</w:t>
      </w:r>
    </w:p>
    <w:p w14:paraId="5CB84450" w14:textId="77777777" w:rsidR="00982FF1" w:rsidRPr="00982FF1" w:rsidRDefault="00982FF1" w:rsidP="00982FF1">
      <w:pPr>
        <w:spacing w:after="0" w:line="240" w:lineRule="auto"/>
        <w:jc w:val="both"/>
        <w:rPr>
          <w:rFonts w:ascii="Times New Roman" w:hAnsi="Times New Roman"/>
        </w:rPr>
      </w:pPr>
      <w:r w:rsidRPr="00982FF1">
        <w:rPr>
          <w:rFonts w:ascii="Times New Roman" w:hAnsi="Times New Roman"/>
        </w:rPr>
        <w:t xml:space="preserve">Ugovor o zaduživanju sklapa općinski načelnik na osnovi donesenog proračuna, uz prethodno mišljenje Ministarstva financija i suglasnost Vlade. </w:t>
      </w:r>
    </w:p>
    <w:p w14:paraId="24219338" w14:textId="77777777" w:rsidR="00982FF1" w:rsidRPr="00982FF1" w:rsidRDefault="00982FF1" w:rsidP="00982FF1">
      <w:pPr>
        <w:spacing w:after="160" w:line="259" w:lineRule="auto"/>
        <w:rPr>
          <w:rFonts w:ascii="Times New Roman" w:eastAsiaTheme="minorHAnsi" w:hAnsi="Times New Roman"/>
          <w:b/>
          <w:bCs/>
          <w:lang w:eastAsia="en-US"/>
          <w14:ligatures w14:val="standardContextual"/>
        </w:rPr>
      </w:pPr>
    </w:p>
    <w:p w14:paraId="3719A33C" w14:textId="77777777" w:rsidR="00982FF1" w:rsidRPr="00982FF1" w:rsidRDefault="00982FF1" w:rsidP="00982FF1">
      <w:pPr>
        <w:spacing w:after="0" w:line="240" w:lineRule="auto"/>
        <w:jc w:val="both"/>
        <w:rPr>
          <w:rFonts w:ascii="Times New Roman" w:hAnsi="Times New Roman"/>
          <w:u w:val="single"/>
        </w:rPr>
      </w:pPr>
      <w:r w:rsidRPr="00982FF1">
        <w:rPr>
          <w:rFonts w:ascii="Times New Roman" w:hAnsi="Times New Roman"/>
          <w:u w:val="single"/>
        </w:rPr>
        <w:t>Kredit kod Privredne banke Zagreb d.d.</w:t>
      </w:r>
    </w:p>
    <w:p w14:paraId="6D98111B" w14:textId="77777777" w:rsidR="00982FF1" w:rsidRPr="00982FF1" w:rsidRDefault="00982FF1" w:rsidP="00982FF1">
      <w:pPr>
        <w:spacing w:after="0" w:line="240" w:lineRule="auto"/>
        <w:jc w:val="both"/>
        <w:rPr>
          <w:rFonts w:ascii="Times New Roman" w:hAnsi="Times New Roman"/>
        </w:rPr>
      </w:pPr>
      <w:r w:rsidRPr="00982FF1">
        <w:rPr>
          <w:rFonts w:ascii="Times New Roman" w:eastAsiaTheme="minorHAnsi" w:hAnsi="Times New Roman" w:cstheme="minorBidi"/>
          <w:lang w:eastAsia="en-US"/>
          <w14:ligatures w14:val="standardContextual"/>
        </w:rPr>
        <w:t>Dana 27.01. 2023. godine sklopljen je Ugovor o dugoročnom kreditu u iznosu od 530.891,23 €, s rokom otplate od četiri godine, bez počeka, s jednakim mjesečnim ratama, uz fiksnu godišnju kamatnu stopu od 1,40%. Radi se o namjenskom kreditu za financiranje kapitalnog projekta „Rekonstrukcija kolnika u ulici Mala Cerna“. Kredit nije u cijelosti iskorišten, te nam je stvarno zaduženje 457.165,91 €.</w:t>
      </w:r>
    </w:p>
    <w:p w14:paraId="7DD5309E" w14:textId="77777777" w:rsidR="00982FF1" w:rsidRPr="00982FF1" w:rsidRDefault="00982FF1" w:rsidP="00982FF1">
      <w:pPr>
        <w:suppressAutoHyphens/>
        <w:autoSpaceDE w:val="0"/>
        <w:autoSpaceDN w:val="0"/>
        <w:spacing w:after="0" w:line="240" w:lineRule="auto"/>
        <w:rPr>
          <w:rFonts w:ascii="Times New Roman" w:eastAsia="Calibri" w:hAnsi="Times New Roman"/>
          <w:sz w:val="24"/>
          <w:szCs w:val="24"/>
          <w:lang w:eastAsia="en-US"/>
        </w:rPr>
      </w:pPr>
    </w:p>
    <w:p w14:paraId="76B70851" w14:textId="77777777" w:rsidR="00982FF1" w:rsidRPr="00982FF1" w:rsidRDefault="00982FF1" w:rsidP="00982FF1">
      <w:pPr>
        <w:autoSpaceDE w:val="0"/>
        <w:autoSpaceDN w:val="0"/>
        <w:adjustRightInd w:val="0"/>
        <w:spacing w:after="0" w:line="240" w:lineRule="auto"/>
        <w:jc w:val="both"/>
        <w:rPr>
          <w:rFonts w:ascii="Times New Roman" w:eastAsia="Calibri" w:hAnsi="Times New Roman"/>
          <w:lang w:eastAsia="en-US"/>
        </w:rPr>
      </w:pPr>
      <w:r w:rsidRPr="00982FF1">
        <w:rPr>
          <w:rFonts w:ascii="Times New Roman" w:eastAsia="Calibri" w:hAnsi="Times New Roman"/>
          <w:lang w:eastAsia="en-US"/>
        </w:rPr>
        <w:t>U nastavku je dan otplatni plan gore navedenog kredita.</w:t>
      </w:r>
    </w:p>
    <w:p w14:paraId="72E63A1D" w14:textId="77777777" w:rsidR="00982FF1" w:rsidRDefault="00982FF1" w:rsidP="00982FF1">
      <w:pPr>
        <w:spacing w:line="240" w:lineRule="auto"/>
        <w:jc w:val="both"/>
        <w:rPr>
          <w:rFonts w:ascii="Times New Roman" w:hAnsi="Times New Roman"/>
          <w:b/>
          <w:bCs/>
        </w:rPr>
      </w:pPr>
    </w:p>
    <w:p w14:paraId="00F1DCF8" w14:textId="77777777" w:rsidR="00982FF1" w:rsidRDefault="00982FF1" w:rsidP="00982FF1">
      <w:pPr>
        <w:spacing w:line="240" w:lineRule="auto"/>
        <w:jc w:val="both"/>
        <w:rPr>
          <w:rFonts w:ascii="Times New Roman" w:hAnsi="Times New Roman"/>
          <w:b/>
          <w:bCs/>
        </w:rPr>
      </w:pPr>
    </w:p>
    <w:p w14:paraId="516BB9B9" w14:textId="77777777" w:rsidR="00982FF1" w:rsidRDefault="00982FF1" w:rsidP="00982FF1">
      <w:pPr>
        <w:spacing w:line="240" w:lineRule="auto"/>
        <w:jc w:val="both"/>
        <w:rPr>
          <w:rFonts w:ascii="Times New Roman" w:hAnsi="Times New Roman"/>
          <w:b/>
          <w:bCs/>
        </w:rPr>
      </w:pPr>
    </w:p>
    <w:p w14:paraId="5F6C842E" w14:textId="77777777" w:rsidR="00982FF1" w:rsidRDefault="00982FF1" w:rsidP="00982FF1">
      <w:pPr>
        <w:spacing w:line="240" w:lineRule="auto"/>
        <w:jc w:val="both"/>
        <w:rPr>
          <w:rFonts w:ascii="Times New Roman" w:hAnsi="Times New Roman"/>
          <w:b/>
          <w:bCs/>
        </w:rPr>
      </w:pPr>
    </w:p>
    <w:p w14:paraId="69039089" w14:textId="77777777" w:rsidR="00982FF1" w:rsidRDefault="00982FF1" w:rsidP="00982FF1">
      <w:pPr>
        <w:spacing w:line="240" w:lineRule="auto"/>
        <w:jc w:val="both"/>
        <w:rPr>
          <w:rFonts w:ascii="Times New Roman" w:hAnsi="Times New Roman"/>
          <w:b/>
          <w:bCs/>
        </w:rPr>
      </w:pPr>
    </w:p>
    <w:p w14:paraId="709855E6" w14:textId="77777777" w:rsidR="00982FF1" w:rsidRDefault="00982FF1" w:rsidP="00982FF1">
      <w:pPr>
        <w:spacing w:line="240" w:lineRule="auto"/>
        <w:jc w:val="both"/>
        <w:rPr>
          <w:rFonts w:ascii="Times New Roman" w:hAnsi="Times New Roman"/>
          <w:b/>
          <w:bCs/>
        </w:rPr>
      </w:pPr>
    </w:p>
    <w:p w14:paraId="51457299" w14:textId="77777777" w:rsidR="00982FF1" w:rsidRDefault="00982FF1" w:rsidP="00982FF1">
      <w:pPr>
        <w:spacing w:line="240" w:lineRule="auto"/>
        <w:jc w:val="both"/>
        <w:rPr>
          <w:rFonts w:ascii="Times New Roman" w:hAnsi="Times New Roman"/>
          <w:b/>
          <w:bCs/>
        </w:rPr>
      </w:pPr>
    </w:p>
    <w:p w14:paraId="6B08DA60" w14:textId="77777777" w:rsidR="00982FF1" w:rsidRDefault="00982FF1" w:rsidP="00982FF1">
      <w:pPr>
        <w:spacing w:line="240" w:lineRule="auto"/>
        <w:jc w:val="both"/>
        <w:rPr>
          <w:rFonts w:ascii="Times New Roman" w:hAnsi="Times New Roman"/>
          <w:b/>
          <w:bCs/>
        </w:rPr>
      </w:pPr>
    </w:p>
    <w:p w14:paraId="3C46C146" w14:textId="77777777" w:rsidR="00982FF1" w:rsidRDefault="00982FF1" w:rsidP="00982FF1">
      <w:pPr>
        <w:spacing w:line="240" w:lineRule="auto"/>
        <w:jc w:val="both"/>
        <w:rPr>
          <w:rFonts w:ascii="Times New Roman" w:hAnsi="Times New Roman"/>
          <w:b/>
          <w:bCs/>
        </w:rPr>
      </w:pPr>
    </w:p>
    <w:tbl>
      <w:tblPr>
        <w:tblW w:w="9439" w:type="dxa"/>
        <w:tblLook w:val="04A0" w:firstRow="1" w:lastRow="0" w:firstColumn="1" w:lastColumn="0" w:noHBand="0" w:noVBand="1"/>
      </w:tblPr>
      <w:tblGrid>
        <w:gridCol w:w="1237"/>
        <w:gridCol w:w="1173"/>
        <w:gridCol w:w="1217"/>
        <w:gridCol w:w="1088"/>
        <w:gridCol w:w="1418"/>
        <w:gridCol w:w="1984"/>
        <w:gridCol w:w="839"/>
        <w:gridCol w:w="177"/>
        <w:gridCol w:w="70"/>
        <w:gridCol w:w="236"/>
      </w:tblGrid>
      <w:tr w:rsidR="00982FF1" w:rsidRPr="00982FF1" w14:paraId="3AE86A27" w14:textId="77777777" w:rsidTr="00127F02">
        <w:trPr>
          <w:trHeight w:val="300"/>
        </w:trPr>
        <w:tc>
          <w:tcPr>
            <w:tcW w:w="9133" w:type="dxa"/>
            <w:gridSpan w:val="8"/>
            <w:tcBorders>
              <w:top w:val="nil"/>
              <w:left w:val="nil"/>
              <w:bottom w:val="nil"/>
              <w:right w:val="nil"/>
            </w:tcBorders>
            <w:shd w:val="clear" w:color="auto" w:fill="D9D9D9"/>
            <w:noWrap/>
            <w:vAlign w:val="bottom"/>
            <w:hideMark/>
          </w:tcPr>
          <w:p w14:paraId="59CF9D84" w14:textId="77777777" w:rsidR="00982FF1" w:rsidRPr="00982FF1" w:rsidRDefault="00982FF1" w:rsidP="00982FF1">
            <w:pPr>
              <w:spacing w:after="0" w:line="240" w:lineRule="auto"/>
              <w:jc w:val="center"/>
              <w:rPr>
                <w:rFonts w:ascii="Times New Roman" w:hAnsi="Times New Roman"/>
                <w:b/>
                <w:bCs/>
                <w:color w:val="000000"/>
                <w:sz w:val="16"/>
                <w:szCs w:val="16"/>
              </w:rPr>
            </w:pPr>
            <w:r w:rsidRPr="00982FF1">
              <w:rPr>
                <w:rFonts w:ascii="Times New Roman" w:hAnsi="Times New Roman"/>
                <w:b/>
                <w:bCs/>
                <w:color w:val="000000"/>
                <w:sz w:val="16"/>
                <w:szCs w:val="16"/>
              </w:rPr>
              <w:lastRenderedPageBreak/>
              <w:t>ZADUŽENJE ZA NAMJENSKI KREDIT - OTPLATNI PLAN U EURIMA</w:t>
            </w:r>
          </w:p>
        </w:tc>
        <w:tc>
          <w:tcPr>
            <w:tcW w:w="306" w:type="dxa"/>
            <w:gridSpan w:val="2"/>
            <w:tcBorders>
              <w:top w:val="nil"/>
              <w:left w:val="nil"/>
              <w:bottom w:val="nil"/>
              <w:right w:val="nil"/>
            </w:tcBorders>
            <w:shd w:val="clear" w:color="auto" w:fill="D9D9D9"/>
            <w:noWrap/>
            <w:vAlign w:val="bottom"/>
            <w:hideMark/>
          </w:tcPr>
          <w:p w14:paraId="0CDAA494" w14:textId="77777777" w:rsidR="00982FF1" w:rsidRPr="00982FF1" w:rsidRDefault="00982FF1" w:rsidP="00982FF1">
            <w:pPr>
              <w:spacing w:after="0" w:line="240" w:lineRule="auto"/>
              <w:jc w:val="center"/>
              <w:rPr>
                <w:rFonts w:ascii="Times New Roman" w:hAnsi="Times New Roman"/>
                <w:color w:val="000000"/>
                <w:sz w:val="16"/>
                <w:szCs w:val="16"/>
              </w:rPr>
            </w:pPr>
          </w:p>
        </w:tc>
      </w:tr>
      <w:tr w:rsidR="00982FF1" w:rsidRPr="00982FF1" w14:paraId="1439B299"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013D3057" w14:textId="77777777" w:rsidR="00982FF1" w:rsidRPr="00982FF1" w:rsidRDefault="00982FF1" w:rsidP="00982FF1">
            <w:pPr>
              <w:spacing w:after="0" w:line="240" w:lineRule="auto"/>
              <w:rPr>
                <w:rFonts w:ascii="Times New Roman" w:hAnsi="Times New Roman"/>
                <w:color w:val="000000"/>
                <w:sz w:val="16"/>
                <w:szCs w:val="16"/>
              </w:rPr>
            </w:pPr>
            <w:r w:rsidRPr="00982FF1">
              <w:rPr>
                <w:rFonts w:ascii="Times New Roman" w:hAnsi="Times New Roman"/>
                <w:color w:val="000000"/>
                <w:sz w:val="16"/>
                <w:szCs w:val="16"/>
              </w:rPr>
              <w:t xml:space="preserve"> razdoblje otplate -48 mjeseci</w:t>
            </w:r>
          </w:p>
        </w:tc>
        <w:tc>
          <w:tcPr>
            <w:tcW w:w="1418" w:type="dxa"/>
            <w:tcBorders>
              <w:top w:val="nil"/>
              <w:left w:val="nil"/>
              <w:bottom w:val="nil"/>
              <w:right w:val="nil"/>
            </w:tcBorders>
            <w:shd w:val="clear" w:color="auto" w:fill="D9D9D9"/>
            <w:noWrap/>
            <w:vAlign w:val="bottom"/>
            <w:hideMark/>
          </w:tcPr>
          <w:p w14:paraId="237428BD" w14:textId="77777777" w:rsidR="00982FF1" w:rsidRPr="00982FF1" w:rsidRDefault="00982FF1" w:rsidP="00982FF1">
            <w:pPr>
              <w:spacing w:after="0" w:line="240" w:lineRule="auto"/>
              <w:rPr>
                <w:rFonts w:ascii="Times New Roman" w:hAnsi="Times New Roman"/>
                <w:color w:val="000000"/>
                <w:sz w:val="16"/>
                <w:szCs w:val="16"/>
              </w:rPr>
            </w:pPr>
          </w:p>
        </w:tc>
        <w:tc>
          <w:tcPr>
            <w:tcW w:w="2823" w:type="dxa"/>
            <w:gridSpan w:val="2"/>
            <w:tcBorders>
              <w:top w:val="nil"/>
              <w:left w:val="nil"/>
              <w:bottom w:val="nil"/>
              <w:right w:val="nil"/>
            </w:tcBorders>
            <w:shd w:val="clear" w:color="auto" w:fill="D9D9D9"/>
            <w:noWrap/>
            <w:vAlign w:val="bottom"/>
            <w:hideMark/>
          </w:tcPr>
          <w:p w14:paraId="3A4B97CE" w14:textId="77777777" w:rsidR="00982FF1" w:rsidRPr="00982FF1" w:rsidRDefault="00982FF1" w:rsidP="00982FF1">
            <w:pPr>
              <w:spacing w:after="0" w:line="240" w:lineRule="auto"/>
              <w:rPr>
                <w:rFonts w:ascii="Times New Roman" w:hAnsi="Times New Roman"/>
                <w:color w:val="000000"/>
                <w:sz w:val="16"/>
                <w:szCs w:val="16"/>
              </w:rPr>
            </w:pPr>
          </w:p>
        </w:tc>
        <w:tc>
          <w:tcPr>
            <w:tcW w:w="247" w:type="dxa"/>
            <w:gridSpan w:val="2"/>
            <w:tcBorders>
              <w:top w:val="nil"/>
              <w:left w:val="nil"/>
              <w:bottom w:val="nil"/>
              <w:right w:val="nil"/>
            </w:tcBorders>
            <w:shd w:val="clear" w:color="auto" w:fill="D9D9D9"/>
            <w:noWrap/>
            <w:vAlign w:val="bottom"/>
            <w:hideMark/>
          </w:tcPr>
          <w:p w14:paraId="010B8136" w14:textId="77777777" w:rsidR="00982FF1" w:rsidRPr="00982FF1" w:rsidRDefault="00982FF1" w:rsidP="00982FF1">
            <w:pPr>
              <w:spacing w:after="0" w:line="240" w:lineRule="auto"/>
              <w:jc w:val="right"/>
              <w:rPr>
                <w:rFonts w:ascii="Times New Roman" w:hAnsi="Times New Roman"/>
                <w:color w:val="000000"/>
                <w:sz w:val="16"/>
                <w:szCs w:val="16"/>
              </w:rPr>
            </w:pPr>
          </w:p>
        </w:tc>
        <w:tc>
          <w:tcPr>
            <w:tcW w:w="236" w:type="dxa"/>
            <w:tcBorders>
              <w:top w:val="nil"/>
              <w:left w:val="nil"/>
              <w:bottom w:val="nil"/>
              <w:right w:val="nil"/>
            </w:tcBorders>
            <w:shd w:val="clear" w:color="auto" w:fill="D9D9D9"/>
            <w:noWrap/>
            <w:vAlign w:val="bottom"/>
            <w:hideMark/>
          </w:tcPr>
          <w:p w14:paraId="31689570" w14:textId="77777777" w:rsidR="00982FF1" w:rsidRPr="00982FF1" w:rsidRDefault="00982FF1" w:rsidP="00982FF1">
            <w:pPr>
              <w:spacing w:after="0" w:line="240" w:lineRule="auto"/>
              <w:rPr>
                <w:rFonts w:ascii="Times New Roman" w:hAnsi="Times New Roman"/>
                <w:color w:val="000000"/>
                <w:sz w:val="16"/>
                <w:szCs w:val="16"/>
              </w:rPr>
            </w:pPr>
          </w:p>
        </w:tc>
      </w:tr>
      <w:tr w:rsidR="00982FF1" w:rsidRPr="00982FF1" w14:paraId="7E774BA8"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04854C73" w14:textId="77777777" w:rsidR="00982FF1" w:rsidRPr="00982FF1" w:rsidRDefault="00982FF1" w:rsidP="00982FF1">
            <w:pPr>
              <w:spacing w:after="0" w:line="240" w:lineRule="auto"/>
              <w:rPr>
                <w:rFonts w:ascii="Times New Roman" w:hAnsi="Times New Roman"/>
                <w:color w:val="000000"/>
                <w:sz w:val="16"/>
                <w:szCs w:val="16"/>
              </w:rPr>
            </w:pPr>
            <w:r w:rsidRPr="00982FF1">
              <w:rPr>
                <w:rFonts w:ascii="Times New Roman" w:hAnsi="Times New Roman"/>
                <w:color w:val="000000"/>
                <w:sz w:val="16"/>
                <w:szCs w:val="16"/>
              </w:rPr>
              <w:t xml:space="preserve"> ukupno za otplatu – 457.165,91 €</w:t>
            </w:r>
          </w:p>
        </w:tc>
        <w:tc>
          <w:tcPr>
            <w:tcW w:w="1418" w:type="dxa"/>
            <w:tcBorders>
              <w:top w:val="nil"/>
              <w:left w:val="nil"/>
              <w:bottom w:val="nil"/>
              <w:right w:val="nil"/>
            </w:tcBorders>
            <w:shd w:val="clear" w:color="auto" w:fill="D9D9D9"/>
            <w:noWrap/>
            <w:vAlign w:val="bottom"/>
            <w:hideMark/>
          </w:tcPr>
          <w:p w14:paraId="08D27DBB" w14:textId="77777777" w:rsidR="00982FF1" w:rsidRPr="00982FF1" w:rsidRDefault="00982FF1" w:rsidP="00982FF1">
            <w:pPr>
              <w:spacing w:after="0" w:line="240" w:lineRule="auto"/>
              <w:rPr>
                <w:rFonts w:ascii="Times New Roman" w:hAnsi="Times New Roman"/>
                <w:color w:val="000000"/>
                <w:sz w:val="16"/>
                <w:szCs w:val="16"/>
              </w:rPr>
            </w:pPr>
          </w:p>
        </w:tc>
        <w:tc>
          <w:tcPr>
            <w:tcW w:w="2823" w:type="dxa"/>
            <w:gridSpan w:val="2"/>
            <w:tcBorders>
              <w:top w:val="nil"/>
              <w:left w:val="nil"/>
              <w:bottom w:val="nil"/>
              <w:right w:val="nil"/>
            </w:tcBorders>
            <w:shd w:val="clear" w:color="auto" w:fill="D9D9D9"/>
            <w:noWrap/>
            <w:vAlign w:val="bottom"/>
            <w:hideMark/>
          </w:tcPr>
          <w:p w14:paraId="0E2E35A2" w14:textId="77777777" w:rsidR="00982FF1" w:rsidRPr="00982FF1" w:rsidRDefault="00982FF1" w:rsidP="00982FF1">
            <w:pPr>
              <w:spacing w:after="0" w:line="240" w:lineRule="auto"/>
              <w:rPr>
                <w:rFonts w:ascii="Times New Roman" w:hAnsi="Times New Roman"/>
                <w:color w:val="000000"/>
                <w:sz w:val="16"/>
                <w:szCs w:val="16"/>
              </w:rPr>
            </w:pPr>
          </w:p>
        </w:tc>
        <w:tc>
          <w:tcPr>
            <w:tcW w:w="247" w:type="dxa"/>
            <w:gridSpan w:val="2"/>
            <w:tcBorders>
              <w:top w:val="nil"/>
              <w:left w:val="nil"/>
              <w:bottom w:val="nil"/>
              <w:right w:val="nil"/>
            </w:tcBorders>
            <w:shd w:val="clear" w:color="auto" w:fill="D9D9D9"/>
            <w:noWrap/>
            <w:vAlign w:val="bottom"/>
            <w:hideMark/>
          </w:tcPr>
          <w:p w14:paraId="1DCC36A6" w14:textId="77777777" w:rsidR="00982FF1" w:rsidRPr="00982FF1" w:rsidRDefault="00982FF1" w:rsidP="00982FF1">
            <w:pPr>
              <w:spacing w:after="0" w:line="240" w:lineRule="auto"/>
              <w:jc w:val="right"/>
              <w:rPr>
                <w:rFonts w:ascii="Times New Roman" w:hAnsi="Times New Roman"/>
                <w:color w:val="000000"/>
                <w:sz w:val="16"/>
                <w:szCs w:val="16"/>
              </w:rPr>
            </w:pPr>
          </w:p>
        </w:tc>
        <w:tc>
          <w:tcPr>
            <w:tcW w:w="236" w:type="dxa"/>
            <w:tcBorders>
              <w:top w:val="nil"/>
              <w:left w:val="nil"/>
              <w:bottom w:val="nil"/>
              <w:right w:val="nil"/>
            </w:tcBorders>
            <w:shd w:val="clear" w:color="auto" w:fill="D9D9D9"/>
            <w:noWrap/>
            <w:vAlign w:val="bottom"/>
            <w:hideMark/>
          </w:tcPr>
          <w:p w14:paraId="3E592F45" w14:textId="77777777" w:rsidR="00982FF1" w:rsidRPr="00982FF1" w:rsidRDefault="00982FF1" w:rsidP="00982FF1">
            <w:pPr>
              <w:spacing w:after="0" w:line="240" w:lineRule="auto"/>
              <w:rPr>
                <w:rFonts w:ascii="Times New Roman" w:hAnsi="Times New Roman"/>
                <w:color w:val="000000"/>
                <w:sz w:val="16"/>
                <w:szCs w:val="16"/>
              </w:rPr>
            </w:pPr>
          </w:p>
        </w:tc>
      </w:tr>
      <w:tr w:rsidR="00982FF1" w:rsidRPr="00982FF1" w14:paraId="57D0CF45"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419E6F9B" w14:textId="77777777" w:rsidR="00982FF1" w:rsidRPr="00982FF1" w:rsidRDefault="00982FF1" w:rsidP="00982FF1">
            <w:pPr>
              <w:spacing w:after="0" w:line="240" w:lineRule="auto"/>
              <w:rPr>
                <w:rFonts w:ascii="Times New Roman" w:hAnsi="Times New Roman"/>
                <w:color w:val="000000"/>
                <w:sz w:val="16"/>
                <w:szCs w:val="16"/>
              </w:rPr>
            </w:pPr>
            <w:r w:rsidRPr="00982FF1">
              <w:rPr>
                <w:rFonts w:ascii="Times New Roman" w:hAnsi="Times New Roman"/>
                <w:color w:val="000000"/>
                <w:sz w:val="16"/>
                <w:szCs w:val="16"/>
              </w:rPr>
              <w:t xml:space="preserve"> kamatna stopa – 1,40 % godišnje</w:t>
            </w:r>
          </w:p>
        </w:tc>
        <w:tc>
          <w:tcPr>
            <w:tcW w:w="1418" w:type="dxa"/>
            <w:tcBorders>
              <w:top w:val="nil"/>
              <w:left w:val="nil"/>
              <w:bottom w:val="nil"/>
              <w:right w:val="nil"/>
            </w:tcBorders>
            <w:shd w:val="clear" w:color="auto" w:fill="D9D9D9"/>
            <w:noWrap/>
            <w:vAlign w:val="bottom"/>
            <w:hideMark/>
          </w:tcPr>
          <w:p w14:paraId="762C65A5" w14:textId="77777777" w:rsidR="00982FF1" w:rsidRPr="00982FF1" w:rsidRDefault="00982FF1" w:rsidP="00982FF1">
            <w:pPr>
              <w:spacing w:after="0" w:line="240" w:lineRule="auto"/>
              <w:rPr>
                <w:rFonts w:ascii="Times New Roman" w:hAnsi="Times New Roman"/>
                <w:color w:val="000000"/>
                <w:sz w:val="16"/>
                <w:szCs w:val="16"/>
              </w:rPr>
            </w:pPr>
          </w:p>
        </w:tc>
        <w:tc>
          <w:tcPr>
            <w:tcW w:w="2823" w:type="dxa"/>
            <w:gridSpan w:val="2"/>
            <w:tcBorders>
              <w:top w:val="nil"/>
              <w:left w:val="nil"/>
              <w:bottom w:val="nil"/>
              <w:right w:val="nil"/>
            </w:tcBorders>
            <w:shd w:val="clear" w:color="auto" w:fill="D9D9D9"/>
            <w:noWrap/>
            <w:vAlign w:val="bottom"/>
            <w:hideMark/>
          </w:tcPr>
          <w:p w14:paraId="20447111" w14:textId="77777777" w:rsidR="00982FF1" w:rsidRPr="00982FF1" w:rsidRDefault="00982FF1" w:rsidP="00982FF1">
            <w:pPr>
              <w:spacing w:after="0" w:line="240" w:lineRule="auto"/>
              <w:rPr>
                <w:rFonts w:ascii="Times New Roman" w:hAnsi="Times New Roman"/>
                <w:color w:val="000000"/>
                <w:sz w:val="16"/>
                <w:szCs w:val="16"/>
              </w:rPr>
            </w:pPr>
          </w:p>
        </w:tc>
        <w:tc>
          <w:tcPr>
            <w:tcW w:w="247" w:type="dxa"/>
            <w:gridSpan w:val="2"/>
            <w:tcBorders>
              <w:top w:val="nil"/>
              <w:left w:val="nil"/>
              <w:bottom w:val="nil"/>
              <w:right w:val="nil"/>
            </w:tcBorders>
            <w:shd w:val="clear" w:color="auto" w:fill="D9D9D9"/>
            <w:noWrap/>
            <w:vAlign w:val="bottom"/>
            <w:hideMark/>
          </w:tcPr>
          <w:p w14:paraId="7CB2520B" w14:textId="77777777" w:rsidR="00982FF1" w:rsidRPr="00982FF1" w:rsidRDefault="00982FF1" w:rsidP="00982FF1">
            <w:pPr>
              <w:spacing w:after="0" w:line="240" w:lineRule="auto"/>
              <w:jc w:val="right"/>
              <w:rPr>
                <w:rFonts w:ascii="Times New Roman" w:hAnsi="Times New Roman"/>
                <w:color w:val="000000"/>
                <w:sz w:val="16"/>
                <w:szCs w:val="16"/>
              </w:rPr>
            </w:pPr>
          </w:p>
        </w:tc>
        <w:tc>
          <w:tcPr>
            <w:tcW w:w="236" w:type="dxa"/>
            <w:tcBorders>
              <w:top w:val="nil"/>
              <w:left w:val="nil"/>
              <w:bottom w:val="nil"/>
              <w:right w:val="nil"/>
            </w:tcBorders>
            <w:shd w:val="clear" w:color="auto" w:fill="D9D9D9"/>
            <w:noWrap/>
            <w:vAlign w:val="bottom"/>
            <w:hideMark/>
          </w:tcPr>
          <w:p w14:paraId="60026B07" w14:textId="77777777" w:rsidR="00982FF1" w:rsidRPr="00982FF1" w:rsidRDefault="00982FF1" w:rsidP="00982FF1">
            <w:pPr>
              <w:spacing w:after="0" w:line="240" w:lineRule="auto"/>
              <w:rPr>
                <w:rFonts w:ascii="Times New Roman" w:hAnsi="Times New Roman"/>
                <w:color w:val="000000"/>
                <w:sz w:val="16"/>
                <w:szCs w:val="16"/>
              </w:rPr>
            </w:pPr>
          </w:p>
        </w:tc>
      </w:tr>
      <w:tr w:rsidR="00982FF1" w:rsidRPr="00982FF1" w14:paraId="589BA332" w14:textId="77777777" w:rsidTr="00127F02">
        <w:trPr>
          <w:gridAfter w:val="2"/>
          <w:wAfter w:w="306" w:type="dxa"/>
          <w:trHeight w:val="300"/>
        </w:trPr>
        <w:tc>
          <w:tcPr>
            <w:tcW w:w="1237" w:type="dxa"/>
            <w:tcBorders>
              <w:top w:val="nil"/>
              <w:left w:val="nil"/>
              <w:bottom w:val="nil"/>
              <w:right w:val="nil"/>
            </w:tcBorders>
            <w:shd w:val="clear" w:color="auto" w:fill="auto"/>
            <w:noWrap/>
            <w:vAlign w:val="bottom"/>
            <w:hideMark/>
          </w:tcPr>
          <w:p w14:paraId="00AC8135" w14:textId="77777777" w:rsidR="00982FF1" w:rsidRPr="00982FF1" w:rsidRDefault="00982FF1" w:rsidP="00982FF1">
            <w:pPr>
              <w:spacing w:after="0" w:line="240" w:lineRule="auto"/>
              <w:rPr>
                <w:rFonts w:ascii="Times New Roman" w:hAnsi="Times New Roman"/>
                <w:color w:val="000000"/>
                <w:sz w:val="16"/>
                <w:szCs w:val="16"/>
              </w:rPr>
            </w:pPr>
          </w:p>
        </w:tc>
        <w:tc>
          <w:tcPr>
            <w:tcW w:w="1173" w:type="dxa"/>
            <w:tcBorders>
              <w:top w:val="nil"/>
              <w:left w:val="nil"/>
              <w:bottom w:val="nil"/>
              <w:right w:val="nil"/>
            </w:tcBorders>
            <w:shd w:val="clear" w:color="auto" w:fill="auto"/>
            <w:noWrap/>
            <w:vAlign w:val="bottom"/>
            <w:hideMark/>
          </w:tcPr>
          <w:p w14:paraId="74E57A62" w14:textId="77777777" w:rsidR="00982FF1" w:rsidRPr="00982FF1" w:rsidRDefault="00982FF1" w:rsidP="00982FF1">
            <w:pPr>
              <w:spacing w:after="0" w:line="240" w:lineRule="auto"/>
              <w:rPr>
                <w:rFonts w:ascii="Times New Roman" w:hAnsi="Times New Roman"/>
                <w:color w:val="000000"/>
                <w:sz w:val="16"/>
                <w:szCs w:val="16"/>
              </w:rPr>
            </w:pPr>
          </w:p>
        </w:tc>
        <w:tc>
          <w:tcPr>
            <w:tcW w:w="1217" w:type="dxa"/>
            <w:tcBorders>
              <w:top w:val="nil"/>
              <w:left w:val="nil"/>
              <w:bottom w:val="nil"/>
              <w:right w:val="nil"/>
            </w:tcBorders>
            <w:shd w:val="clear" w:color="auto" w:fill="auto"/>
            <w:noWrap/>
            <w:vAlign w:val="bottom"/>
            <w:hideMark/>
          </w:tcPr>
          <w:p w14:paraId="22950148" w14:textId="77777777" w:rsidR="00982FF1" w:rsidRPr="00982FF1" w:rsidRDefault="00982FF1" w:rsidP="00982FF1">
            <w:pPr>
              <w:spacing w:after="0" w:line="240" w:lineRule="auto"/>
              <w:rPr>
                <w:rFonts w:ascii="Times New Roman" w:hAnsi="Times New Roman"/>
                <w:color w:val="000000"/>
                <w:sz w:val="16"/>
                <w:szCs w:val="16"/>
              </w:rPr>
            </w:pPr>
          </w:p>
        </w:tc>
        <w:tc>
          <w:tcPr>
            <w:tcW w:w="1088" w:type="dxa"/>
            <w:tcBorders>
              <w:top w:val="nil"/>
              <w:left w:val="nil"/>
              <w:bottom w:val="nil"/>
              <w:right w:val="nil"/>
            </w:tcBorders>
            <w:shd w:val="clear" w:color="auto" w:fill="auto"/>
            <w:noWrap/>
            <w:vAlign w:val="bottom"/>
            <w:hideMark/>
          </w:tcPr>
          <w:p w14:paraId="495EF9F4" w14:textId="77777777" w:rsidR="00982FF1" w:rsidRPr="00982FF1" w:rsidRDefault="00982FF1" w:rsidP="00982FF1">
            <w:pPr>
              <w:spacing w:after="0" w:line="240" w:lineRule="auto"/>
              <w:rPr>
                <w:rFonts w:ascii="Times New Roman" w:hAnsi="Times New Roman"/>
                <w:color w:val="000000"/>
                <w:sz w:val="16"/>
                <w:szCs w:val="16"/>
              </w:rPr>
            </w:pPr>
          </w:p>
        </w:tc>
        <w:tc>
          <w:tcPr>
            <w:tcW w:w="1418" w:type="dxa"/>
            <w:tcBorders>
              <w:top w:val="nil"/>
              <w:left w:val="nil"/>
              <w:bottom w:val="nil"/>
              <w:right w:val="nil"/>
            </w:tcBorders>
            <w:shd w:val="clear" w:color="auto" w:fill="auto"/>
            <w:noWrap/>
            <w:vAlign w:val="bottom"/>
            <w:hideMark/>
          </w:tcPr>
          <w:p w14:paraId="5BA7D477" w14:textId="77777777" w:rsidR="00982FF1" w:rsidRPr="00982FF1" w:rsidRDefault="00982FF1" w:rsidP="00982FF1">
            <w:pPr>
              <w:spacing w:after="0" w:line="240" w:lineRule="auto"/>
              <w:rPr>
                <w:rFonts w:ascii="Times New Roman" w:hAnsi="Times New Roman"/>
                <w:color w:val="000000"/>
                <w:sz w:val="16"/>
                <w:szCs w:val="16"/>
              </w:rPr>
            </w:pPr>
          </w:p>
        </w:tc>
        <w:tc>
          <w:tcPr>
            <w:tcW w:w="1984" w:type="dxa"/>
            <w:tcBorders>
              <w:top w:val="nil"/>
              <w:left w:val="nil"/>
              <w:bottom w:val="nil"/>
              <w:right w:val="nil"/>
            </w:tcBorders>
            <w:shd w:val="clear" w:color="auto" w:fill="auto"/>
            <w:noWrap/>
            <w:vAlign w:val="bottom"/>
            <w:hideMark/>
          </w:tcPr>
          <w:p w14:paraId="508EB65E" w14:textId="77777777" w:rsidR="00982FF1" w:rsidRPr="00982FF1" w:rsidRDefault="00982FF1" w:rsidP="00982FF1">
            <w:pPr>
              <w:spacing w:after="0" w:line="240" w:lineRule="auto"/>
              <w:jc w:val="right"/>
              <w:rPr>
                <w:rFonts w:ascii="Times New Roman" w:hAnsi="Times New Roman"/>
                <w:color w:val="000000"/>
                <w:sz w:val="16"/>
                <w:szCs w:val="16"/>
              </w:rPr>
            </w:pPr>
          </w:p>
        </w:tc>
        <w:tc>
          <w:tcPr>
            <w:tcW w:w="1016" w:type="dxa"/>
            <w:gridSpan w:val="2"/>
            <w:tcBorders>
              <w:top w:val="nil"/>
              <w:left w:val="nil"/>
              <w:bottom w:val="nil"/>
              <w:right w:val="nil"/>
            </w:tcBorders>
            <w:shd w:val="clear" w:color="auto" w:fill="auto"/>
            <w:noWrap/>
            <w:vAlign w:val="bottom"/>
            <w:hideMark/>
          </w:tcPr>
          <w:p w14:paraId="0DF70586" w14:textId="77777777" w:rsidR="00982FF1" w:rsidRPr="00982FF1" w:rsidRDefault="00982FF1" w:rsidP="00982FF1">
            <w:pPr>
              <w:spacing w:after="0" w:line="240" w:lineRule="auto"/>
              <w:rPr>
                <w:rFonts w:ascii="Times New Roman" w:hAnsi="Times New Roman"/>
                <w:color w:val="000000"/>
                <w:sz w:val="16"/>
                <w:szCs w:val="16"/>
              </w:rPr>
            </w:pPr>
          </w:p>
        </w:tc>
      </w:tr>
      <w:tr w:rsidR="00982FF1" w:rsidRPr="00982FF1" w14:paraId="4F66E7FD" w14:textId="77777777" w:rsidTr="00127F02">
        <w:trPr>
          <w:gridAfter w:val="2"/>
          <w:wAfter w:w="306" w:type="dxa"/>
          <w:trHeight w:val="780"/>
        </w:trPr>
        <w:tc>
          <w:tcPr>
            <w:tcW w:w="123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D093DF" w14:textId="77777777" w:rsidR="00982FF1" w:rsidRPr="00982FF1" w:rsidRDefault="00982FF1" w:rsidP="00982FF1">
            <w:pPr>
              <w:spacing w:after="0" w:line="240" w:lineRule="auto"/>
              <w:jc w:val="center"/>
              <w:rPr>
                <w:rFonts w:ascii="Times New Roman" w:hAnsi="Times New Roman"/>
                <w:b/>
                <w:color w:val="000000"/>
                <w:sz w:val="16"/>
                <w:szCs w:val="16"/>
              </w:rPr>
            </w:pPr>
            <w:r w:rsidRPr="00982FF1">
              <w:rPr>
                <w:rFonts w:ascii="Times New Roman" w:hAnsi="Times New Roman"/>
                <w:b/>
                <w:color w:val="000000"/>
                <w:sz w:val="16"/>
                <w:szCs w:val="16"/>
              </w:rPr>
              <w:t>DATUM DOSPIJEĆA</w:t>
            </w:r>
          </w:p>
        </w:tc>
        <w:tc>
          <w:tcPr>
            <w:tcW w:w="1173" w:type="dxa"/>
            <w:tcBorders>
              <w:top w:val="single" w:sz="4" w:space="0" w:color="auto"/>
              <w:left w:val="nil"/>
              <w:bottom w:val="single" w:sz="4" w:space="0" w:color="auto"/>
              <w:right w:val="single" w:sz="4" w:space="0" w:color="auto"/>
            </w:tcBorders>
            <w:shd w:val="clear" w:color="auto" w:fill="FFFFFF"/>
            <w:vAlign w:val="bottom"/>
            <w:hideMark/>
          </w:tcPr>
          <w:p w14:paraId="0DC5C2A2" w14:textId="77777777" w:rsidR="00982FF1" w:rsidRPr="00982FF1" w:rsidRDefault="00982FF1" w:rsidP="00982FF1">
            <w:pPr>
              <w:spacing w:after="0" w:line="240" w:lineRule="auto"/>
              <w:jc w:val="center"/>
              <w:rPr>
                <w:rFonts w:ascii="Times New Roman" w:hAnsi="Times New Roman"/>
                <w:b/>
                <w:color w:val="000000"/>
                <w:sz w:val="16"/>
                <w:szCs w:val="16"/>
              </w:rPr>
            </w:pPr>
            <w:r w:rsidRPr="00982FF1">
              <w:rPr>
                <w:rFonts w:ascii="Times New Roman" w:hAnsi="Times New Roman"/>
                <w:b/>
                <w:color w:val="000000"/>
                <w:sz w:val="16"/>
                <w:szCs w:val="16"/>
              </w:rPr>
              <w:t>STOPA</w:t>
            </w:r>
          </w:p>
        </w:tc>
        <w:tc>
          <w:tcPr>
            <w:tcW w:w="1217" w:type="dxa"/>
            <w:tcBorders>
              <w:top w:val="single" w:sz="4" w:space="0" w:color="auto"/>
              <w:left w:val="nil"/>
              <w:bottom w:val="single" w:sz="4" w:space="0" w:color="auto"/>
              <w:right w:val="single" w:sz="4" w:space="0" w:color="auto"/>
            </w:tcBorders>
            <w:shd w:val="clear" w:color="auto" w:fill="FFFFFF"/>
            <w:vAlign w:val="bottom"/>
            <w:hideMark/>
          </w:tcPr>
          <w:p w14:paraId="76C8748D" w14:textId="77777777" w:rsidR="00982FF1" w:rsidRPr="00982FF1" w:rsidRDefault="00982FF1" w:rsidP="00982FF1">
            <w:pPr>
              <w:spacing w:after="0" w:line="240" w:lineRule="auto"/>
              <w:jc w:val="center"/>
              <w:rPr>
                <w:rFonts w:ascii="Times New Roman" w:hAnsi="Times New Roman"/>
                <w:b/>
                <w:color w:val="000000"/>
                <w:sz w:val="16"/>
                <w:szCs w:val="16"/>
              </w:rPr>
            </w:pPr>
            <w:r w:rsidRPr="00982FF1">
              <w:rPr>
                <w:rFonts w:ascii="Times New Roman" w:hAnsi="Times New Roman"/>
                <w:b/>
                <w:color w:val="000000"/>
                <w:sz w:val="16"/>
                <w:szCs w:val="16"/>
              </w:rPr>
              <w:t>KAMATA</w:t>
            </w:r>
          </w:p>
        </w:tc>
        <w:tc>
          <w:tcPr>
            <w:tcW w:w="1088" w:type="dxa"/>
            <w:tcBorders>
              <w:top w:val="single" w:sz="4" w:space="0" w:color="auto"/>
              <w:left w:val="nil"/>
              <w:bottom w:val="single" w:sz="4" w:space="0" w:color="auto"/>
              <w:right w:val="single" w:sz="4" w:space="0" w:color="auto"/>
            </w:tcBorders>
            <w:shd w:val="clear" w:color="auto" w:fill="FFFFFF"/>
            <w:vAlign w:val="bottom"/>
            <w:hideMark/>
          </w:tcPr>
          <w:p w14:paraId="032C2BCE" w14:textId="77777777" w:rsidR="00982FF1" w:rsidRPr="00982FF1" w:rsidRDefault="00982FF1" w:rsidP="00982FF1">
            <w:pPr>
              <w:spacing w:after="0" w:line="240" w:lineRule="auto"/>
              <w:jc w:val="center"/>
              <w:rPr>
                <w:rFonts w:ascii="Times New Roman" w:hAnsi="Times New Roman"/>
                <w:b/>
                <w:color w:val="000000"/>
                <w:sz w:val="16"/>
                <w:szCs w:val="16"/>
              </w:rPr>
            </w:pPr>
            <w:r w:rsidRPr="00982FF1">
              <w:rPr>
                <w:rFonts w:ascii="Times New Roman" w:hAnsi="Times New Roman"/>
                <w:b/>
                <w:color w:val="000000"/>
                <w:sz w:val="16"/>
                <w:szCs w:val="16"/>
              </w:rPr>
              <w:t>GLAVNICA</w:t>
            </w:r>
          </w:p>
        </w:tc>
        <w:tc>
          <w:tcPr>
            <w:tcW w:w="1418" w:type="dxa"/>
            <w:tcBorders>
              <w:top w:val="single" w:sz="4" w:space="0" w:color="auto"/>
              <w:left w:val="nil"/>
              <w:bottom w:val="single" w:sz="4" w:space="0" w:color="auto"/>
              <w:right w:val="single" w:sz="4" w:space="0" w:color="auto"/>
            </w:tcBorders>
            <w:shd w:val="clear" w:color="auto" w:fill="FFFFFF"/>
            <w:vAlign w:val="bottom"/>
            <w:hideMark/>
          </w:tcPr>
          <w:p w14:paraId="50992493" w14:textId="77777777" w:rsidR="00982FF1" w:rsidRPr="00982FF1" w:rsidRDefault="00982FF1" w:rsidP="00982FF1">
            <w:pPr>
              <w:spacing w:after="0" w:line="240" w:lineRule="auto"/>
              <w:jc w:val="center"/>
              <w:rPr>
                <w:rFonts w:ascii="Times New Roman" w:hAnsi="Times New Roman"/>
                <w:b/>
                <w:color w:val="000000"/>
                <w:sz w:val="16"/>
                <w:szCs w:val="16"/>
              </w:rPr>
            </w:pPr>
            <w:r w:rsidRPr="00982FF1">
              <w:rPr>
                <w:rFonts w:ascii="Times New Roman" w:hAnsi="Times New Roman"/>
                <w:b/>
                <w:color w:val="000000"/>
                <w:sz w:val="16"/>
                <w:szCs w:val="16"/>
              </w:rPr>
              <w:t>KAMATA + GLAVNICA</w:t>
            </w:r>
          </w:p>
        </w:tc>
        <w:tc>
          <w:tcPr>
            <w:tcW w:w="1984" w:type="dxa"/>
            <w:tcBorders>
              <w:top w:val="single" w:sz="4" w:space="0" w:color="auto"/>
              <w:left w:val="nil"/>
              <w:bottom w:val="single" w:sz="4" w:space="0" w:color="auto"/>
              <w:right w:val="single" w:sz="4" w:space="0" w:color="auto"/>
            </w:tcBorders>
            <w:shd w:val="clear" w:color="auto" w:fill="FFFFFF"/>
            <w:vAlign w:val="bottom"/>
            <w:hideMark/>
          </w:tcPr>
          <w:p w14:paraId="1E1CF1B9" w14:textId="77777777" w:rsidR="00982FF1" w:rsidRPr="00982FF1" w:rsidRDefault="00982FF1" w:rsidP="00982FF1">
            <w:pPr>
              <w:spacing w:after="0" w:line="240" w:lineRule="auto"/>
              <w:jc w:val="center"/>
              <w:rPr>
                <w:rFonts w:ascii="Times New Roman" w:hAnsi="Times New Roman"/>
                <w:b/>
                <w:color w:val="000000"/>
                <w:sz w:val="16"/>
                <w:szCs w:val="16"/>
              </w:rPr>
            </w:pPr>
            <w:r w:rsidRPr="00982FF1">
              <w:rPr>
                <w:rFonts w:ascii="Times New Roman" w:hAnsi="Times New Roman"/>
                <w:b/>
                <w:color w:val="000000"/>
                <w:sz w:val="16"/>
                <w:szCs w:val="16"/>
              </w:rPr>
              <w:t>OSTATAK DUGA</w:t>
            </w:r>
          </w:p>
        </w:tc>
        <w:tc>
          <w:tcPr>
            <w:tcW w:w="1016" w:type="dxa"/>
            <w:gridSpan w:val="2"/>
            <w:tcBorders>
              <w:top w:val="single" w:sz="4" w:space="0" w:color="auto"/>
              <w:left w:val="nil"/>
              <w:bottom w:val="single" w:sz="4" w:space="0" w:color="auto"/>
              <w:right w:val="single" w:sz="4" w:space="0" w:color="auto"/>
            </w:tcBorders>
            <w:shd w:val="clear" w:color="auto" w:fill="FFFFFF"/>
            <w:vAlign w:val="bottom"/>
            <w:hideMark/>
          </w:tcPr>
          <w:p w14:paraId="57721A47" w14:textId="77777777" w:rsidR="00982FF1" w:rsidRPr="00982FF1" w:rsidRDefault="00982FF1" w:rsidP="00982FF1">
            <w:pPr>
              <w:spacing w:after="0" w:line="240" w:lineRule="auto"/>
              <w:jc w:val="center"/>
              <w:rPr>
                <w:rFonts w:ascii="Times New Roman" w:hAnsi="Times New Roman"/>
                <w:b/>
                <w:color w:val="000000"/>
                <w:sz w:val="16"/>
                <w:szCs w:val="16"/>
              </w:rPr>
            </w:pPr>
            <w:r w:rsidRPr="00982FF1">
              <w:rPr>
                <w:rFonts w:ascii="Times New Roman" w:hAnsi="Times New Roman"/>
                <w:b/>
                <w:color w:val="000000"/>
                <w:sz w:val="16"/>
                <w:szCs w:val="16"/>
              </w:rPr>
              <w:t>DANI</w:t>
            </w:r>
          </w:p>
        </w:tc>
      </w:tr>
      <w:tr w:rsidR="00982FF1" w:rsidRPr="00982FF1" w14:paraId="704699ED" w14:textId="77777777" w:rsidTr="00127F02">
        <w:trPr>
          <w:gridAfter w:val="2"/>
          <w:wAfter w:w="306" w:type="dxa"/>
          <w:trHeight w:val="87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9DEB8B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31.07.2023.</w:t>
            </w:r>
          </w:p>
        </w:tc>
        <w:tc>
          <w:tcPr>
            <w:tcW w:w="1173" w:type="dxa"/>
            <w:tcBorders>
              <w:top w:val="nil"/>
              <w:left w:val="nil"/>
              <w:bottom w:val="single" w:sz="4" w:space="0" w:color="auto"/>
              <w:right w:val="single" w:sz="4" w:space="0" w:color="auto"/>
            </w:tcBorders>
            <w:shd w:val="clear" w:color="auto" w:fill="auto"/>
            <w:noWrap/>
            <w:vAlign w:val="bottom"/>
            <w:hideMark/>
          </w:tcPr>
          <w:p w14:paraId="30611C3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hideMark/>
          </w:tcPr>
          <w:p w14:paraId="1884851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543,59</w:t>
            </w:r>
          </w:p>
        </w:tc>
        <w:tc>
          <w:tcPr>
            <w:tcW w:w="1088" w:type="dxa"/>
            <w:tcBorders>
              <w:top w:val="nil"/>
              <w:left w:val="nil"/>
              <w:bottom w:val="single" w:sz="4" w:space="0" w:color="auto"/>
              <w:right w:val="single" w:sz="4" w:space="0" w:color="auto"/>
            </w:tcBorders>
            <w:shd w:val="clear" w:color="auto" w:fill="auto"/>
            <w:noWrap/>
            <w:vAlign w:val="bottom"/>
            <w:hideMark/>
          </w:tcPr>
          <w:p w14:paraId="2EF2505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hideMark/>
          </w:tcPr>
          <w:p w14:paraId="21001D8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10.067,88</w:t>
            </w:r>
          </w:p>
        </w:tc>
        <w:tc>
          <w:tcPr>
            <w:tcW w:w="1984" w:type="dxa"/>
            <w:tcBorders>
              <w:top w:val="nil"/>
              <w:left w:val="nil"/>
              <w:bottom w:val="single" w:sz="4" w:space="0" w:color="auto"/>
              <w:right w:val="single" w:sz="4" w:space="0" w:color="auto"/>
            </w:tcBorders>
            <w:shd w:val="clear" w:color="auto" w:fill="auto"/>
            <w:vAlign w:val="bottom"/>
            <w:hideMark/>
          </w:tcPr>
          <w:p w14:paraId="1C797F5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447.641,62</w:t>
            </w:r>
          </w:p>
        </w:tc>
        <w:tc>
          <w:tcPr>
            <w:tcW w:w="1016" w:type="dxa"/>
            <w:gridSpan w:val="2"/>
            <w:tcBorders>
              <w:top w:val="nil"/>
              <w:left w:val="nil"/>
              <w:bottom w:val="single" w:sz="4" w:space="0" w:color="auto"/>
              <w:right w:val="single" w:sz="4" w:space="0" w:color="auto"/>
            </w:tcBorders>
            <w:shd w:val="clear" w:color="auto" w:fill="auto"/>
            <w:vAlign w:val="bottom"/>
            <w:hideMark/>
          </w:tcPr>
          <w:p w14:paraId="7C15ED8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13E1251B"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F8C0E5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31.08.2023.</w:t>
            </w:r>
          </w:p>
        </w:tc>
        <w:tc>
          <w:tcPr>
            <w:tcW w:w="1173" w:type="dxa"/>
            <w:tcBorders>
              <w:top w:val="nil"/>
              <w:left w:val="nil"/>
              <w:bottom w:val="single" w:sz="4" w:space="0" w:color="auto"/>
              <w:right w:val="single" w:sz="4" w:space="0" w:color="auto"/>
            </w:tcBorders>
            <w:shd w:val="clear" w:color="auto" w:fill="auto"/>
            <w:noWrap/>
            <w:vAlign w:val="bottom"/>
            <w:hideMark/>
          </w:tcPr>
          <w:p w14:paraId="1B0FC39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hideMark/>
          </w:tcPr>
          <w:p w14:paraId="46CFBF2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532,26</w:t>
            </w:r>
          </w:p>
        </w:tc>
        <w:tc>
          <w:tcPr>
            <w:tcW w:w="1088" w:type="dxa"/>
            <w:tcBorders>
              <w:top w:val="nil"/>
              <w:left w:val="nil"/>
              <w:bottom w:val="single" w:sz="4" w:space="0" w:color="auto"/>
              <w:right w:val="single" w:sz="4" w:space="0" w:color="auto"/>
            </w:tcBorders>
            <w:shd w:val="clear" w:color="auto" w:fill="auto"/>
            <w:noWrap/>
            <w:vAlign w:val="bottom"/>
            <w:hideMark/>
          </w:tcPr>
          <w:p w14:paraId="2AE58E6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hideMark/>
          </w:tcPr>
          <w:p w14:paraId="43946DE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10.056,55</w:t>
            </w:r>
          </w:p>
        </w:tc>
        <w:tc>
          <w:tcPr>
            <w:tcW w:w="1984" w:type="dxa"/>
            <w:tcBorders>
              <w:top w:val="nil"/>
              <w:left w:val="nil"/>
              <w:bottom w:val="single" w:sz="4" w:space="0" w:color="auto"/>
              <w:right w:val="single" w:sz="4" w:space="0" w:color="auto"/>
            </w:tcBorders>
            <w:shd w:val="clear" w:color="auto" w:fill="auto"/>
            <w:vAlign w:val="bottom"/>
            <w:hideMark/>
          </w:tcPr>
          <w:p w14:paraId="30489C5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428.117,33</w:t>
            </w:r>
          </w:p>
        </w:tc>
        <w:tc>
          <w:tcPr>
            <w:tcW w:w="1016" w:type="dxa"/>
            <w:gridSpan w:val="2"/>
            <w:tcBorders>
              <w:top w:val="nil"/>
              <w:left w:val="nil"/>
              <w:bottom w:val="single" w:sz="4" w:space="0" w:color="auto"/>
              <w:right w:val="single" w:sz="4" w:space="0" w:color="auto"/>
            </w:tcBorders>
            <w:shd w:val="clear" w:color="auto" w:fill="auto"/>
            <w:vAlign w:val="bottom"/>
            <w:hideMark/>
          </w:tcPr>
          <w:p w14:paraId="6CA1BD1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6A571BAD"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F59445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30.09.2023.</w:t>
            </w:r>
          </w:p>
        </w:tc>
        <w:tc>
          <w:tcPr>
            <w:tcW w:w="1173" w:type="dxa"/>
            <w:tcBorders>
              <w:top w:val="nil"/>
              <w:left w:val="nil"/>
              <w:bottom w:val="single" w:sz="4" w:space="0" w:color="auto"/>
              <w:right w:val="single" w:sz="4" w:space="0" w:color="auto"/>
            </w:tcBorders>
            <w:shd w:val="clear" w:color="auto" w:fill="auto"/>
            <w:noWrap/>
            <w:vAlign w:val="bottom"/>
          </w:tcPr>
          <w:p w14:paraId="5EA08F8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50AF35E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504,14</w:t>
            </w:r>
          </w:p>
        </w:tc>
        <w:tc>
          <w:tcPr>
            <w:tcW w:w="1088" w:type="dxa"/>
            <w:tcBorders>
              <w:top w:val="nil"/>
              <w:left w:val="nil"/>
              <w:bottom w:val="single" w:sz="4" w:space="0" w:color="auto"/>
              <w:right w:val="single" w:sz="4" w:space="0" w:color="auto"/>
            </w:tcBorders>
            <w:shd w:val="clear" w:color="auto" w:fill="auto"/>
            <w:noWrap/>
            <w:vAlign w:val="bottom"/>
          </w:tcPr>
          <w:p w14:paraId="6CB32B5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093903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10.028,43</w:t>
            </w:r>
          </w:p>
        </w:tc>
        <w:tc>
          <w:tcPr>
            <w:tcW w:w="1984" w:type="dxa"/>
            <w:tcBorders>
              <w:top w:val="nil"/>
              <w:left w:val="nil"/>
              <w:bottom w:val="single" w:sz="4" w:space="0" w:color="auto"/>
              <w:right w:val="single" w:sz="4" w:space="0" w:color="auto"/>
            </w:tcBorders>
            <w:shd w:val="clear" w:color="auto" w:fill="auto"/>
            <w:vAlign w:val="bottom"/>
          </w:tcPr>
          <w:p w14:paraId="280F4F9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428.593,04</w:t>
            </w:r>
          </w:p>
        </w:tc>
        <w:tc>
          <w:tcPr>
            <w:tcW w:w="1016" w:type="dxa"/>
            <w:gridSpan w:val="2"/>
            <w:tcBorders>
              <w:top w:val="nil"/>
              <w:left w:val="nil"/>
              <w:bottom w:val="single" w:sz="4" w:space="0" w:color="auto"/>
              <w:right w:val="single" w:sz="4" w:space="0" w:color="auto"/>
            </w:tcBorders>
            <w:shd w:val="clear" w:color="auto" w:fill="auto"/>
            <w:vAlign w:val="bottom"/>
          </w:tcPr>
          <w:p w14:paraId="6E6D18A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39818FEC"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2ACD9C6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31.10.2023.</w:t>
            </w:r>
          </w:p>
        </w:tc>
        <w:tc>
          <w:tcPr>
            <w:tcW w:w="1173" w:type="dxa"/>
            <w:tcBorders>
              <w:top w:val="nil"/>
              <w:left w:val="nil"/>
              <w:bottom w:val="single" w:sz="4" w:space="0" w:color="auto"/>
              <w:right w:val="single" w:sz="4" w:space="0" w:color="auto"/>
            </w:tcBorders>
            <w:shd w:val="clear" w:color="auto" w:fill="auto"/>
            <w:noWrap/>
            <w:vAlign w:val="bottom"/>
          </w:tcPr>
          <w:p w14:paraId="2CF706F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1BD33E3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509,61</w:t>
            </w:r>
          </w:p>
        </w:tc>
        <w:tc>
          <w:tcPr>
            <w:tcW w:w="1088" w:type="dxa"/>
            <w:tcBorders>
              <w:top w:val="nil"/>
              <w:left w:val="nil"/>
              <w:bottom w:val="single" w:sz="4" w:space="0" w:color="auto"/>
              <w:right w:val="single" w:sz="4" w:space="0" w:color="auto"/>
            </w:tcBorders>
            <w:shd w:val="clear" w:color="auto" w:fill="auto"/>
            <w:noWrap/>
            <w:vAlign w:val="bottom"/>
          </w:tcPr>
          <w:p w14:paraId="1206DA4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BF10A9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10.033,90</w:t>
            </w:r>
          </w:p>
        </w:tc>
        <w:tc>
          <w:tcPr>
            <w:tcW w:w="1984" w:type="dxa"/>
            <w:tcBorders>
              <w:top w:val="nil"/>
              <w:left w:val="nil"/>
              <w:bottom w:val="single" w:sz="4" w:space="0" w:color="auto"/>
              <w:right w:val="single" w:sz="4" w:space="0" w:color="auto"/>
            </w:tcBorders>
            <w:shd w:val="clear" w:color="auto" w:fill="auto"/>
            <w:vAlign w:val="bottom"/>
          </w:tcPr>
          <w:p w14:paraId="59304E8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419.068,75</w:t>
            </w:r>
          </w:p>
        </w:tc>
        <w:tc>
          <w:tcPr>
            <w:tcW w:w="1016" w:type="dxa"/>
            <w:gridSpan w:val="2"/>
            <w:tcBorders>
              <w:top w:val="nil"/>
              <w:left w:val="nil"/>
              <w:bottom w:val="single" w:sz="4" w:space="0" w:color="auto"/>
              <w:right w:val="single" w:sz="4" w:space="0" w:color="auto"/>
            </w:tcBorders>
            <w:shd w:val="clear" w:color="auto" w:fill="auto"/>
            <w:vAlign w:val="bottom"/>
          </w:tcPr>
          <w:p w14:paraId="2D41345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26F4A4D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A7B31E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30.11.2023.</w:t>
            </w:r>
          </w:p>
        </w:tc>
        <w:tc>
          <w:tcPr>
            <w:tcW w:w="1173" w:type="dxa"/>
            <w:tcBorders>
              <w:top w:val="nil"/>
              <w:left w:val="nil"/>
              <w:bottom w:val="single" w:sz="4" w:space="0" w:color="auto"/>
              <w:right w:val="single" w:sz="4" w:space="0" w:color="auto"/>
            </w:tcBorders>
            <w:shd w:val="clear" w:color="auto" w:fill="auto"/>
            <w:noWrap/>
            <w:vAlign w:val="bottom"/>
          </w:tcPr>
          <w:p w14:paraId="2336CE6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8990A9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482,22</w:t>
            </w:r>
          </w:p>
        </w:tc>
        <w:tc>
          <w:tcPr>
            <w:tcW w:w="1088" w:type="dxa"/>
            <w:tcBorders>
              <w:top w:val="nil"/>
              <w:left w:val="nil"/>
              <w:bottom w:val="single" w:sz="4" w:space="0" w:color="auto"/>
              <w:right w:val="single" w:sz="4" w:space="0" w:color="auto"/>
            </w:tcBorders>
            <w:shd w:val="clear" w:color="auto" w:fill="auto"/>
            <w:noWrap/>
            <w:vAlign w:val="bottom"/>
          </w:tcPr>
          <w:p w14:paraId="72379C5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A75A7D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10.006,51</w:t>
            </w:r>
          </w:p>
        </w:tc>
        <w:tc>
          <w:tcPr>
            <w:tcW w:w="1984" w:type="dxa"/>
            <w:tcBorders>
              <w:top w:val="nil"/>
              <w:left w:val="nil"/>
              <w:bottom w:val="single" w:sz="4" w:space="0" w:color="auto"/>
              <w:right w:val="single" w:sz="4" w:space="0" w:color="auto"/>
            </w:tcBorders>
            <w:shd w:val="clear" w:color="auto" w:fill="auto"/>
            <w:vAlign w:val="bottom"/>
          </w:tcPr>
          <w:p w14:paraId="6EB5F00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409.544,46</w:t>
            </w:r>
          </w:p>
        </w:tc>
        <w:tc>
          <w:tcPr>
            <w:tcW w:w="1016" w:type="dxa"/>
            <w:gridSpan w:val="2"/>
            <w:tcBorders>
              <w:top w:val="nil"/>
              <w:left w:val="nil"/>
              <w:bottom w:val="single" w:sz="4" w:space="0" w:color="auto"/>
              <w:right w:val="single" w:sz="4" w:space="0" w:color="auto"/>
            </w:tcBorders>
            <w:shd w:val="clear" w:color="auto" w:fill="auto"/>
            <w:vAlign w:val="bottom"/>
          </w:tcPr>
          <w:p w14:paraId="54C50F9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05C556C5"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263DB4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31.12.2023.</w:t>
            </w:r>
          </w:p>
        </w:tc>
        <w:tc>
          <w:tcPr>
            <w:tcW w:w="1173" w:type="dxa"/>
            <w:tcBorders>
              <w:top w:val="nil"/>
              <w:left w:val="nil"/>
              <w:bottom w:val="single" w:sz="4" w:space="0" w:color="auto"/>
              <w:right w:val="single" w:sz="4" w:space="0" w:color="auto"/>
            </w:tcBorders>
            <w:shd w:val="clear" w:color="auto" w:fill="auto"/>
            <w:noWrap/>
            <w:vAlign w:val="bottom"/>
          </w:tcPr>
          <w:p w14:paraId="1BDF846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68E79FA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486,97</w:t>
            </w:r>
          </w:p>
        </w:tc>
        <w:tc>
          <w:tcPr>
            <w:tcW w:w="1088" w:type="dxa"/>
            <w:tcBorders>
              <w:top w:val="nil"/>
              <w:left w:val="nil"/>
              <w:bottom w:val="single" w:sz="4" w:space="0" w:color="auto"/>
              <w:right w:val="single" w:sz="4" w:space="0" w:color="auto"/>
            </w:tcBorders>
            <w:shd w:val="clear" w:color="auto" w:fill="auto"/>
            <w:noWrap/>
            <w:vAlign w:val="bottom"/>
          </w:tcPr>
          <w:p w14:paraId="18E414D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1007A2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10.011,26</w:t>
            </w:r>
          </w:p>
        </w:tc>
        <w:tc>
          <w:tcPr>
            <w:tcW w:w="1984" w:type="dxa"/>
            <w:tcBorders>
              <w:top w:val="nil"/>
              <w:left w:val="nil"/>
              <w:bottom w:val="single" w:sz="4" w:space="0" w:color="auto"/>
              <w:right w:val="single" w:sz="4" w:space="0" w:color="auto"/>
            </w:tcBorders>
            <w:shd w:val="clear" w:color="auto" w:fill="auto"/>
            <w:vAlign w:val="bottom"/>
          </w:tcPr>
          <w:p w14:paraId="0A5A582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400.020,17</w:t>
            </w:r>
          </w:p>
        </w:tc>
        <w:tc>
          <w:tcPr>
            <w:tcW w:w="1016" w:type="dxa"/>
            <w:gridSpan w:val="2"/>
            <w:tcBorders>
              <w:top w:val="nil"/>
              <w:left w:val="nil"/>
              <w:bottom w:val="single" w:sz="4" w:space="0" w:color="auto"/>
              <w:right w:val="single" w:sz="4" w:space="0" w:color="auto"/>
            </w:tcBorders>
            <w:shd w:val="clear" w:color="auto" w:fill="auto"/>
            <w:vAlign w:val="bottom"/>
          </w:tcPr>
          <w:p w14:paraId="46F37B1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537824E7" w14:textId="77777777" w:rsidTr="00127F02">
        <w:trPr>
          <w:gridAfter w:val="2"/>
          <w:wAfter w:w="306" w:type="dxa"/>
          <w:trHeight w:val="6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E9E6AA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31.01.2024.</w:t>
            </w:r>
          </w:p>
        </w:tc>
        <w:tc>
          <w:tcPr>
            <w:tcW w:w="1173" w:type="dxa"/>
            <w:tcBorders>
              <w:top w:val="nil"/>
              <w:left w:val="nil"/>
              <w:bottom w:val="single" w:sz="4" w:space="0" w:color="auto"/>
              <w:right w:val="single" w:sz="4" w:space="0" w:color="auto"/>
            </w:tcBorders>
            <w:shd w:val="clear" w:color="auto" w:fill="auto"/>
            <w:noWrap/>
            <w:vAlign w:val="bottom"/>
          </w:tcPr>
          <w:p w14:paraId="1E6F680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32F5E3A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474,38</w:t>
            </w:r>
          </w:p>
        </w:tc>
        <w:tc>
          <w:tcPr>
            <w:tcW w:w="1088" w:type="dxa"/>
            <w:tcBorders>
              <w:top w:val="nil"/>
              <w:left w:val="nil"/>
              <w:bottom w:val="single" w:sz="4" w:space="0" w:color="auto"/>
              <w:right w:val="single" w:sz="4" w:space="0" w:color="auto"/>
            </w:tcBorders>
            <w:shd w:val="clear" w:color="auto" w:fill="auto"/>
            <w:noWrap/>
            <w:vAlign w:val="bottom"/>
          </w:tcPr>
          <w:p w14:paraId="1E2A553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91485A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9.998,67</w:t>
            </w:r>
          </w:p>
        </w:tc>
        <w:tc>
          <w:tcPr>
            <w:tcW w:w="1984" w:type="dxa"/>
            <w:tcBorders>
              <w:top w:val="nil"/>
              <w:left w:val="nil"/>
              <w:bottom w:val="single" w:sz="4" w:space="0" w:color="auto"/>
              <w:right w:val="single" w:sz="4" w:space="0" w:color="auto"/>
            </w:tcBorders>
            <w:shd w:val="clear" w:color="auto" w:fill="auto"/>
            <w:vAlign w:val="bottom"/>
          </w:tcPr>
          <w:p w14:paraId="03596ED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390.495,88</w:t>
            </w:r>
          </w:p>
        </w:tc>
        <w:tc>
          <w:tcPr>
            <w:tcW w:w="1016" w:type="dxa"/>
            <w:gridSpan w:val="2"/>
            <w:tcBorders>
              <w:top w:val="nil"/>
              <w:left w:val="nil"/>
              <w:bottom w:val="single" w:sz="4" w:space="0" w:color="auto"/>
              <w:right w:val="single" w:sz="4" w:space="0" w:color="auto"/>
            </w:tcBorders>
            <w:shd w:val="clear" w:color="auto" w:fill="auto"/>
            <w:vAlign w:val="bottom"/>
          </w:tcPr>
          <w:p w14:paraId="18FD963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446F6C3E" w14:textId="77777777" w:rsidTr="00127F02">
        <w:trPr>
          <w:gridAfter w:val="2"/>
          <w:wAfter w:w="306" w:type="dxa"/>
          <w:trHeight w:val="54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432C8DD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29.02.2024.</w:t>
            </w:r>
          </w:p>
        </w:tc>
        <w:tc>
          <w:tcPr>
            <w:tcW w:w="1173" w:type="dxa"/>
            <w:tcBorders>
              <w:top w:val="nil"/>
              <w:left w:val="nil"/>
              <w:bottom w:val="single" w:sz="4" w:space="0" w:color="auto"/>
              <w:right w:val="single" w:sz="4" w:space="0" w:color="auto"/>
            </w:tcBorders>
            <w:shd w:val="clear" w:color="auto" w:fill="auto"/>
            <w:noWrap/>
            <w:vAlign w:val="bottom"/>
          </w:tcPr>
          <w:p w14:paraId="1F4ADF8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166E172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433,17</w:t>
            </w:r>
          </w:p>
        </w:tc>
        <w:tc>
          <w:tcPr>
            <w:tcW w:w="1088" w:type="dxa"/>
            <w:tcBorders>
              <w:top w:val="nil"/>
              <w:left w:val="nil"/>
              <w:bottom w:val="single" w:sz="4" w:space="0" w:color="auto"/>
              <w:right w:val="single" w:sz="4" w:space="0" w:color="auto"/>
            </w:tcBorders>
            <w:shd w:val="clear" w:color="auto" w:fill="auto"/>
            <w:noWrap/>
            <w:vAlign w:val="bottom"/>
          </w:tcPr>
          <w:p w14:paraId="187A4C1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6C5046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9.957,46</w:t>
            </w:r>
          </w:p>
        </w:tc>
        <w:tc>
          <w:tcPr>
            <w:tcW w:w="1984" w:type="dxa"/>
            <w:tcBorders>
              <w:top w:val="nil"/>
              <w:left w:val="nil"/>
              <w:bottom w:val="single" w:sz="4" w:space="0" w:color="auto"/>
              <w:right w:val="single" w:sz="4" w:space="0" w:color="auto"/>
            </w:tcBorders>
            <w:shd w:val="clear" w:color="auto" w:fill="auto"/>
            <w:vAlign w:val="bottom"/>
          </w:tcPr>
          <w:p w14:paraId="6F4720F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380.971,59</w:t>
            </w:r>
          </w:p>
        </w:tc>
        <w:tc>
          <w:tcPr>
            <w:tcW w:w="1016" w:type="dxa"/>
            <w:gridSpan w:val="2"/>
            <w:tcBorders>
              <w:top w:val="nil"/>
              <w:left w:val="nil"/>
              <w:bottom w:val="single" w:sz="4" w:space="0" w:color="auto"/>
              <w:right w:val="single" w:sz="4" w:space="0" w:color="auto"/>
            </w:tcBorders>
            <w:shd w:val="clear" w:color="auto" w:fill="auto"/>
            <w:vAlign w:val="bottom"/>
          </w:tcPr>
          <w:p w14:paraId="16C9528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29</w:t>
            </w:r>
          </w:p>
        </w:tc>
      </w:tr>
      <w:tr w:rsidR="00982FF1" w:rsidRPr="00982FF1" w14:paraId="11F1F16A"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1985BA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31.03.2024.</w:t>
            </w:r>
          </w:p>
        </w:tc>
        <w:tc>
          <w:tcPr>
            <w:tcW w:w="1173" w:type="dxa"/>
            <w:tcBorders>
              <w:top w:val="nil"/>
              <w:left w:val="nil"/>
              <w:bottom w:val="single" w:sz="4" w:space="0" w:color="auto"/>
              <w:right w:val="single" w:sz="4" w:space="0" w:color="auto"/>
            </w:tcBorders>
            <w:shd w:val="clear" w:color="auto" w:fill="auto"/>
            <w:noWrap/>
            <w:vAlign w:val="bottom"/>
          </w:tcPr>
          <w:p w14:paraId="4D00899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28ABCFC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451,75</w:t>
            </w:r>
          </w:p>
        </w:tc>
        <w:tc>
          <w:tcPr>
            <w:tcW w:w="1088" w:type="dxa"/>
            <w:tcBorders>
              <w:top w:val="nil"/>
              <w:left w:val="nil"/>
              <w:bottom w:val="single" w:sz="4" w:space="0" w:color="auto"/>
              <w:right w:val="single" w:sz="4" w:space="0" w:color="auto"/>
            </w:tcBorders>
            <w:shd w:val="clear" w:color="auto" w:fill="auto"/>
            <w:noWrap/>
            <w:vAlign w:val="bottom"/>
          </w:tcPr>
          <w:p w14:paraId="624F141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EC3319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9.976,04</w:t>
            </w:r>
          </w:p>
        </w:tc>
        <w:tc>
          <w:tcPr>
            <w:tcW w:w="1984" w:type="dxa"/>
            <w:tcBorders>
              <w:top w:val="nil"/>
              <w:left w:val="nil"/>
              <w:bottom w:val="single" w:sz="4" w:space="0" w:color="auto"/>
              <w:right w:val="single" w:sz="4" w:space="0" w:color="auto"/>
            </w:tcBorders>
            <w:shd w:val="clear" w:color="000000" w:fill="FFFFFF"/>
            <w:vAlign w:val="bottom"/>
          </w:tcPr>
          <w:p w14:paraId="7152494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371.447,30</w:t>
            </w:r>
          </w:p>
        </w:tc>
        <w:tc>
          <w:tcPr>
            <w:tcW w:w="1016" w:type="dxa"/>
            <w:gridSpan w:val="2"/>
            <w:tcBorders>
              <w:top w:val="nil"/>
              <w:left w:val="nil"/>
              <w:bottom w:val="single" w:sz="4" w:space="0" w:color="auto"/>
              <w:right w:val="single" w:sz="4" w:space="0" w:color="auto"/>
            </w:tcBorders>
            <w:shd w:val="clear" w:color="000000" w:fill="FFFFFF"/>
            <w:vAlign w:val="bottom"/>
          </w:tcPr>
          <w:p w14:paraId="7CD1A69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1A348521" w14:textId="77777777" w:rsidTr="00127F02">
        <w:trPr>
          <w:gridAfter w:val="2"/>
          <w:wAfter w:w="306" w:type="dxa"/>
          <w:trHeight w:val="54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9C7264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30.04.2024.</w:t>
            </w:r>
          </w:p>
        </w:tc>
        <w:tc>
          <w:tcPr>
            <w:tcW w:w="1173" w:type="dxa"/>
            <w:tcBorders>
              <w:top w:val="nil"/>
              <w:left w:val="nil"/>
              <w:bottom w:val="single" w:sz="4" w:space="0" w:color="auto"/>
              <w:right w:val="single" w:sz="4" w:space="0" w:color="auto"/>
            </w:tcBorders>
            <w:shd w:val="clear" w:color="auto" w:fill="auto"/>
            <w:noWrap/>
            <w:vAlign w:val="bottom"/>
          </w:tcPr>
          <w:p w14:paraId="3814698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22143E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426,25</w:t>
            </w:r>
          </w:p>
        </w:tc>
        <w:tc>
          <w:tcPr>
            <w:tcW w:w="1088" w:type="dxa"/>
            <w:tcBorders>
              <w:top w:val="nil"/>
              <w:left w:val="nil"/>
              <w:bottom w:val="single" w:sz="4" w:space="0" w:color="auto"/>
              <w:right w:val="single" w:sz="4" w:space="0" w:color="auto"/>
            </w:tcBorders>
            <w:shd w:val="clear" w:color="auto" w:fill="auto"/>
            <w:noWrap/>
            <w:vAlign w:val="bottom"/>
          </w:tcPr>
          <w:p w14:paraId="5137937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C2046A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9.950,54</w:t>
            </w:r>
          </w:p>
        </w:tc>
        <w:tc>
          <w:tcPr>
            <w:tcW w:w="1984" w:type="dxa"/>
            <w:tcBorders>
              <w:top w:val="nil"/>
              <w:left w:val="nil"/>
              <w:bottom w:val="single" w:sz="4" w:space="0" w:color="auto"/>
              <w:right w:val="single" w:sz="4" w:space="0" w:color="auto"/>
            </w:tcBorders>
            <w:shd w:val="clear" w:color="auto" w:fill="auto"/>
            <w:vAlign w:val="bottom"/>
          </w:tcPr>
          <w:p w14:paraId="5D43FF30"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361.923,01</w:t>
            </w:r>
          </w:p>
        </w:tc>
        <w:tc>
          <w:tcPr>
            <w:tcW w:w="1016" w:type="dxa"/>
            <w:gridSpan w:val="2"/>
            <w:tcBorders>
              <w:top w:val="nil"/>
              <w:left w:val="nil"/>
              <w:bottom w:val="single" w:sz="4" w:space="0" w:color="auto"/>
              <w:right w:val="single" w:sz="4" w:space="0" w:color="auto"/>
            </w:tcBorders>
            <w:shd w:val="clear" w:color="auto" w:fill="auto"/>
            <w:vAlign w:val="bottom"/>
          </w:tcPr>
          <w:p w14:paraId="14A1B1F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674FFB8B"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6BE4124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31.05.2024.</w:t>
            </w:r>
          </w:p>
        </w:tc>
        <w:tc>
          <w:tcPr>
            <w:tcW w:w="1173" w:type="dxa"/>
            <w:tcBorders>
              <w:top w:val="nil"/>
              <w:left w:val="nil"/>
              <w:bottom w:val="single" w:sz="4" w:space="0" w:color="auto"/>
              <w:right w:val="single" w:sz="4" w:space="0" w:color="auto"/>
            </w:tcBorders>
            <w:shd w:val="clear" w:color="auto" w:fill="auto"/>
            <w:noWrap/>
            <w:vAlign w:val="bottom"/>
          </w:tcPr>
          <w:p w14:paraId="279D74E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5E9B60D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429,17</w:t>
            </w:r>
          </w:p>
        </w:tc>
        <w:tc>
          <w:tcPr>
            <w:tcW w:w="1088" w:type="dxa"/>
            <w:tcBorders>
              <w:top w:val="nil"/>
              <w:left w:val="nil"/>
              <w:bottom w:val="single" w:sz="4" w:space="0" w:color="auto"/>
              <w:right w:val="single" w:sz="4" w:space="0" w:color="auto"/>
            </w:tcBorders>
            <w:shd w:val="clear" w:color="auto" w:fill="auto"/>
            <w:noWrap/>
            <w:vAlign w:val="bottom"/>
          </w:tcPr>
          <w:p w14:paraId="09DE1F0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958EEA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9.953,46</w:t>
            </w:r>
          </w:p>
        </w:tc>
        <w:tc>
          <w:tcPr>
            <w:tcW w:w="1984" w:type="dxa"/>
            <w:tcBorders>
              <w:top w:val="nil"/>
              <w:left w:val="nil"/>
              <w:bottom w:val="single" w:sz="4" w:space="0" w:color="auto"/>
              <w:right w:val="single" w:sz="4" w:space="0" w:color="auto"/>
            </w:tcBorders>
            <w:shd w:val="clear" w:color="auto" w:fill="auto"/>
            <w:vAlign w:val="bottom"/>
          </w:tcPr>
          <w:p w14:paraId="53C7CBAA"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352.398,72</w:t>
            </w:r>
          </w:p>
        </w:tc>
        <w:tc>
          <w:tcPr>
            <w:tcW w:w="1016" w:type="dxa"/>
            <w:gridSpan w:val="2"/>
            <w:tcBorders>
              <w:top w:val="nil"/>
              <w:left w:val="nil"/>
              <w:bottom w:val="single" w:sz="4" w:space="0" w:color="auto"/>
              <w:right w:val="single" w:sz="4" w:space="0" w:color="auto"/>
            </w:tcBorders>
            <w:shd w:val="clear" w:color="auto" w:fill="auto"/>
            <w:vAlign w:val="bottom"/>
          </w:tcPr>
          <w:p w14:paraId="32DD1A8A"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w:t>
            </w:r>
          </w:p>
        </w:tc>
      </w:tr>
      <w:tr w:rsidR="00982FF1" w:rsidRPr="00982FF1" w14:paraId="6353320E" w14:textId="77777777" w:rsidTr="00127F02">
        <w:trPr>
          <w:gridAfter w:val="2"/>
          <w:wAfter w:w="306" w:type="dxa"/>
          <w:trHeight w:val="585"/>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271F46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30.06.2024.</w:t>
            </w:r>
          </w:p>
        </w:tc>
        <w:tc>
          <w:tcPr>
            <w:tcW w:w="1173" w:type="dxa"/>
            <w:tcBorders>
              <w:top w:val="nil"/>
              <w:left w:val="nil"/>
              <w:bottom w:val="single" w:sz="4" w:space="0" w:color="auto"/>
              <w:right w:val="single" w:sz="4" w:space="0" w:color="auto"/>
            </w:tcBorders>
            <w:shd w:val="clear" w:color="auto" w:fill="auto"/>
            <w:noWrap/>
            <w:vAlign w:val="bottom"/>
          </w:tcPr>
          <w:p w14:paraId="68BA561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F8539B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404,39</w:t>
            </w:r>
          </w:p>
        </w:tc>
        <w:tc>
          <w:tcPr>
            <w:tcW w:w="1088" w:type="dxa"/>
            <w:tcBorders>
              <w:top w:val="nil"/>
              <w:left w:val="nil"/>
              <w:bottom w:val="single" w:sz="4" w:space="0" w:color="auto"/>
              <w:right w:val="single" w:sz="4" w:space="0" w:color="auto"/>
            </w:tcBorders>
            <w:shd w:val="clear" w:color="auto" w:fill="auto"/>
            <w:noWrap/>
            <w:vAlign w:val="bottom"/>
          </w:tcPr>
          <w:p w14:paraId="450453B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20D31D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9.928,68</w:t>
            </w:r>
          </w:p>
        </w:tc>
        <w:tc>
          <w:tcPr>
            <w:tcW w:w="1984" w:type="dxa"/>
            <w:tcBorders>
              <w:top w:val="nil"/>
              <w:left w:val="nil"/>
              <w:bottom w:val="single" w:sz="4" w:space="0" w:color="auto"/>
              <w:right w:val="single" w:sz="4" w:space="0" w:color="auto"/>
            </w:tcBorders>
            <w:shd w:val="clear" w:color="auto" w:fill="auto"/>
            <w:vAlign w:val="bottom"/>
          </w:tcPr>
          <w:p w14:paraId="5F3E813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342.874,43</w:t>
            </w:r>
          </w:p>
        </w:tc>
        <w:tc>
          <w:tcPr>
            <w:tcW w:w="1016" w:type="dxa"/>
            <w:gridSpan w:val="2"/>
            <w:tcBorders>
              <w:top w:val="nil"/>
              <w:left w:val="nil"/>
              <w:bottom w:val="single" w:sz="4" w:space="0" w:color="auto"/>
              <w:right w:val="single" w:sz="4" w:space="0" w:color="auto"/>
            </w:tcBorders>
            <w:shd w:val="clear" w:color="auto" w:fill="auto"/>
            <w:vAlign w:val="bottom"/>
          </w:tcPr>
          <w:p w14:paraId="7BF0E37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7CD63251" w14:textId="77777777" w:rsidTr="00127F02">
        <w:trPr>
          <w:gridAfter w:val="2"/>
          <w:wAfter w:w="306" w:type="dxa"/>
          <w:trHeight w:val="6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9B43D9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31.07.2024.</w:t>
            </w:r>
          </w:p>
        </w:tc>
        <w:tc>
          <w:tcPr>
            <w:tcW w:w="1173" w:type="dxa"/>
            <w:tcBorders>
              <w:top w:val="nil"/>
              <w:left w:val="nil"/>
              <w:bottom w:val="single" w:sz="4" w:space="0" w:color="auto"/>
              <w:right w:val="single" w:sz="4" w:space="0" w:color="auto"/>
            </w:tcBorders>
            <w:shd w:val="clear" w:color="auto" w:fill="auto"/>
            <w:noWrap/>
            <w:vAlign w:val="bottom"/>
          </w:tcPr>
          <w:p w14:paraId="62ABC96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359944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405,58</w:t>
            </w:r>
          </w:p>
        </w:tc>
        <w:tc>
          <w:tcPr>
            <w:tcW w:w="1088" w:type="dxa"/>
            <w:tcBorders>
              <w:top w:val="nil"/>
              <w:left w:val="nil"/>
              <w:bottom w:val="single" w:sz="4" w:space="0" w:color="auto"/>
              <w:right w:val="single" w:sz="4" w:space="0" w:color="auto"/>
            </w:tcBorders>
            <w:shd w:val="clear" w:color="auto" w:fill="auto"/>
            <w:noWrap/>
            <w:vAlign w:val="bottom"/>
          </w:tcPr>
          <w:p w14:paraId="4E9A8CA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A12141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9.930,87</w:t>
            </w:r>
          </w:p>
        </w:tc>
        <w:tc>
          <w:tcPr>
            <w:tcW w:w="1984" w:type="dxa"/>
            <w:tcBorders>
              <w:top w:val="nil"/>
              <w:left w:val="nil"/>
              <w:bottom w:val="single" w:sz="4" w:space="0" w:color="auto"/>
              <w:right w:val="single" w:sz="4" w:space="0" w:color="auto"/>
            </w:tcBorders>
            <w:shd w:val="clear" w:color="auto" w:fill="auto"/>
            <w:vAlign w:val="bottom"/>
          </w:tcPr>
          <w:p w14:paraId="4298BBA0"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333.350,14</w:t>
            </w:r>
          </w:p>
        </w:tc>
        <w:tc>
          <w:tcPr>
            <w:tcW w:w="1016" w:type="dxa"/>
            <w:gridSpan w:val="2"/>
            <w:tcBorders>
              <w:top w:val="nil"/>
              <w:left w:val="nil"/>
              <w:bottom w:val="single" w:sz="4" w:space="0" w:color="auto"/>
              <w:right w:val="single" w:sz="4" w:space="0" w:color="auto"/>
            </w:tcBorders>
            <w:shd w:val="clear" w:color="auto" w:fill="auto"/>
            <w:vAlign w:val="bottom"/>
          </w:tcPr>
          <w:p w14:paraId="7862AEB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5C3D26F2"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40554D5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31.08.2024.</w:t>
            </w:r>
          </w:p>
        </w:tc>
        <w:tc>
          <w:tcPr>
            <w:tcW w:w="1173" w:type="dxa"/>
            <w:tcBorders>
              <w:top w:val="nil"/>
              <w:left w:val="nil"/>
              <w:bottom w:val="single" w:sz="4" w:space="0" w:color="auto"/>
              <w:right w:val="single" w:sz="4" w:space="0" w:color="auto"/>
            </w:tcBorders>
            <w:shd w:val="clear" w:color="auto" w:fill="auto"/>
            <w:noWrap/>
            <w:vAlign w:val="bottom"/>
          </w:tcPr>
          <w:p w14:paraId="23846BC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2A26959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395,28</w:t>
            </w:r>
          </w:p>
        </w:tc>
        <w:tc>
          <w:tcPr>
            <w:tcW w:w="1088" w:type="dxa"/>
            <w:tcBorders>
              <w:top w:val="nil"/>
              <w:left w:val="nil"/>
              <w:bottom w:val="single" w:sz="4" w:space="0" w:color="auto"/>
              <w:right w:val="single" w:sz="4" w:space="0" w:color="auto"/>
            </w:tcBorders>
            <w:shd w:val="clear" w:color="auto" w:fill="auto"/>
            <w:noWrap/>
            <w:vAlign w:val="bottom"/>
          </w:tcPr>
          <w:p w14:paraId="2545B0D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D9D68D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9.919,57</w:t>
            </w:r>
          </w:p>
        </w:tc>
        <w:tc>
          <w:tcPr>
            <w:tcW w:w="1984" w:type="dxa"/>
            <w:tcBorders>
              <w:top w:val="nil"/>
              <w:left w:val="nil"/>
              <w:bottom w:val="single" w:sz="4" w:space="0" w:color="auto"/>
              <w:right w:val="single" w:sz="4" w:space="0" w:color="auto"/>
            </w:tcBorders>
            <w:shd w:val="clear" w:color="auto" w:fill="auto"/>
            <w:vAlign w:val="bottom"/>
          </w:tcPr>
          <w:p w14:paraId="1ACCDACD"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323.825,85</w:t>
            </w:r>
          </w:p>
        </w:tc>
        <w:tc>
          <w:tcPr>
            <w:tcW w:w="1016" w:type="dxa"/>
            <w:gridSpan w:val="2"/>
            <w:tcBorders>
              <w:top w:val="nil"/>
              <w:left w:val="nil"/>
              <w:bottom w:val="single" w:sz="4" w:space="0" w:color="auto"/>
              <w:right w:val="single" w:sz="4" w:space="0" w:color="auto"/>
            </w:tcBorders>
            <w:shd w:val="clear" w:color="auto" w:fill="auto"/>
            <w:vAlign w:val="bottom"/>
          </w:tcPr>
          <w:p w14:paraId="3FF2AF55"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w:t>
            </w:r>
          </w:p>
        </w:tc>
      </w:tr>
      <w:tr w:rsidR="00982FF1" w:rsidRPr="00982FF1" w14:paraId="55D8AB07"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10BEE4D"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30.09.2024.</w:t>
            </w:r>
          </w:p>
        </w:tc>
        <w:tc>
          <w:tcPr>
            <w:tcW w:w="1173" w:type="dxa"/>
            <w:tcBorders>
              <w:top w:val="nil"/>
              <w:left w:val="nil"/>
              <w:bottom w:val="single" w:sz="4" w:space="0" w:color="auto"/>
              <w:right w:val="single" w:sz="4" w:space="0" w:color="auto"/>
            </w:tcBorders>
            <w:shd w:val="clear" w:color="auto" w:fill="auto"/>
            <w:noWrap/>
            <w:vAlign w:val="bottom"/>
          </w:tcPr>
          <w:p w14:paraId="31C1D864"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49734B0"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371,60</w:t>
            </w:r>
          </w:p>
        </w:tc>
        <w:tc>
          <w:tcPr>
            <w:tcW w:w="1088" w:type="dxa"/>
            <w:tcBorders>
              <w:top w:val="nil"/>
              <w:left w:val="nil"/>
              <w:bottom w:val="single" w:sz="4" w:space="0" w:color="auto"/>
              <w:right w:val="single" w:sz="4" w:space="0" w:color="auto"/>
            </w:tcBorders>
            <w:shd w:val="clear" w:color="auto" w:fill="auto"/>
            <w:noWrap/>
            <w:vAlign w:val="bottom"/>
          </w:tcPr>
          <w:p w14:paraId="67CD4543"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48E708F6"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9.895,89</w:t>
            </w:r>
          </w:p>
        </w:tc>
        <w:tc>
          <w:tcPr>
            <w:tcW w:w="1984" w:type="dxa"/>
            <w:tcBorders>
              <w:top w:val="nil"/>
              <w:left w:val="nil"/>
              <w:bottom w:val="single" w:sz="4" w:space="0" w:color="auto"/>
              <w:right w:val="single" w:sz="4" w:space="0" w:color="auto"/>
            </w:tcBorders>
            <w:shd w:val="clear" w:color="auto" w:fill="auto"/>
            <w:noWrap/>
            <w:vAlign w:val="bottom"/>
          </w:tcPr>
          <w:p w14:paraId="624F953D"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314.301,56</w:t>
            </w:r>
          </w:p>
        </w:tc>
        <w:tc>
          <w:tcPr>
            <w:tcW w:w="1016" w:type="dxa"/>
            <w:gridSpan w:val="2"/>
            <w:tcBorders>
              <w:top w:val="nil"/>
              <w:left w:val="nil"/>
              <w:bottom w:val="single" w:sz="4" w:space="0" w:color="auto"/>
              <w:right w:val="single" w:sz="4" w:space="0" w:color="auto"/>
            </w:tcBorders>
            <w:shd w:val="clear" w:color="auto" w:fill="auto"/>
            <w:vAlign w:val="bottom"/>
          </w:tcPr>
          <w:p w14:paraId="221D3721"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30</w:t>
            </w:r>
          </w:p>
        </w:tc>
      </w:tr>
      <w:tr w:rsidR="00982FF1" w:rsidRPr="00982FF1" w14:paraId="4432B998"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42614AA"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31.10.2024.</w:t>
            </w:r>
          </w:p>
        </w:tc>
        <w:tc>
          <w:tcPr>
            <w:tcW w:w="1173" w:type="dxa"/>
            <w:tcBorders>
              <w:top w:val="nil"/>
              <w:left w:val="nil"/>
              <w:bottom w:val="single" w:sz="4" w:space="0" w:color="auto"/>
              <w:right w:val="single" w:sz="4" w:space="0" w:color="auto"/>
            </w:tcBorders>
            <w:shd w:val="clear" w:color="auto" w:fill="auto"/>
            <w:noWrap/>
            <w:vAlign w:val="bottom"/>
          </w:tcPr>
          <w:p w14:paraId="73F3B7E3"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67E282AA"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372,70</w:t>
            </w:r>
          </w:p>
        </w:tc>
        <w:tc>
          <w:tcPr>
            <w:tcW w:w="1088" w:type="dxa"/>
            <w:tcBorders>
              <w:top w:val="nil"/>
              <w:left w:val="nil"/>
              <w:bottom w:val="single" w:sz="4" w:space="0" w:color="auto"/>
              <w:right w:val="single" w:sz="4" w:space="0" w:color="auto"/>
            </w:tcBorders>
            <w:shd w:val="clear" w:color="auto" w:fill="auto"/>
            <w:noWrap/>
            <w:vAlign w:val="bottom"/>
          </w:tcPr>
          <w:p w14:paraId="77BB8FB1"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18474A1"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9.896,99</w:t>
            </w:r>
          </w:p>
        </w:tc>
        <w:tc>
          <w:tcPr>
            <w:tcW w:w="1984" w:type="dxa"/>
            <w:tcBorders>
              <w:top w:val="nil"/>
              <w:left w:val="nil"/>
              <w:bottom w:val="single" w:sz="4" w:space="0" w:color="auto"/>
              <w:right w:val="single" w:sz="4" w:space="0" w:color="auto"/>
            </w:tcBorders>
            <w:shd w:val="clear" w:color="auto" w:fill="auto"/>
            <w:noWrap/>
            <w:vAlign w:val="bottom"/>
          </w:tcPr>
          <w:p w14:paraId="017B4418"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304.777,27</w:t>
            </w:r>
          </w:p>
        </w:tc>
        <w:tc>
          <w:tcPr>
            <w:tcW w:w="1016" w:type="dxa"/>
            <w:gridSpan w:val="2"/>
            <w:tcBorders>
              <w:top w:val="nil"/>
              <w:left w:val="nil"/>
              <w:bottom w:val="single" w:sz="4" w:space="0" w:color="auto"/>
              <w:right w:val="single" w:sz="4" w:space="0" w:color="auto"/>
            </w:tcBorders>
            <w:shd w:val="clear" w:color="auto" w:fill="auto"/>
            <w:noWrap/>
            <w:vAlign w:val="bottom"/>
          </w:tcPr>
          <w:p w14:paraId="70F00D14"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w:t>
            </w:r>
          </w:p>
        </w:tc>
      </w:tr>
      <w:tr w:rsidR="00982FF1" w:rsidRPr="00982FF1" w14:paraId="5C2D850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6906CEDD"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30.11.2024.</w:t>
            </w:r>
          </w:p>
        </w:tc>
        <w:tc>
          <w:tcPr>
            <w:tcW w:w="1173" w:type="dxa"/>
            <w:tcBorders>
              <w:top w:val="nil"/>
              <w:left w:val="nil"/>
              <w:bottom w:val="single" w:sz="4" w:space="0" w:color="auto"/>
              <w:right w:val="single" w:sz="4" w:space="0" w:color="auto"/>
            </w:tcBorders>
            <w:shd w:val="clear" w:color="auto" w:fill="auto"/>
            <w:noWrap/>
            <w:vAlign w:val="bottom"/>
          </w:tcPr>
          <w:p w14:paraId="453ADB89"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E04FC25"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349,74</w:t>
            </w:r>
          </w:p>
        </w:tc>
        <w:tc>
          <w:tcPr>
            <w:tcW w:w="1088" w:type="dxa"/>
            <w:tcBorders>
              <w:top w:val="nil"/>
              <w:left w:val="nil"/>
              <w:bottom w:val="single" w:sz="4" w:space="0" w:color="auto"/>
              <w:right w:val="single" w:sz="4" w:space="0" w:color="auto"/>
            </w:tcBorders>
            <w:shd w:val="clear" w:color="auto" w:fill="auto"/>
            <w:noWrap/>
            <w:vAlign w:val="bottom"/>
          </w:tcPr>
          <w:p w14:paraId="204A0E6E"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4185685"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9.874,03</w:t>
            </w:r>
          </w:p>
        </w:tc>
        <w:tc>
          <w:tcPr>
            <w:tcW w:w="1984" w:type="dxa"/>
            <w:tcBorders>
              <w:top w:val="nil"/>
              <w:left w:val="nil"/>
              <w:bottom w:val="single" w:sz="4" w:space="0" w:color="auto"/>
              <w:right w:val="single" w:sz="4" w:space="0" w:color="auto"/>
            </w:tcBorders>
            <w:shd w:val="clear" w:color="auto" w:fill="auto"/>
            <w:noWrap/>
            <w:vAlign w:val="bottom"/>
          </w:tcPr>
          <w:p w14:paraId="44BC0DE0"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295.252,98</w:t>
            </w:r>
          </w:p>
        </w:tc>
        <w:tc>
          <w:tcPr>
            <w:tcW w:w="1016" w:type="dxa"/>
            <w:gridSpan w:val="2"/>
            <w:tcBorders>
              <w:top w:val="nil"/>
              <w:left w:val="nil"/>
              <w:bottom w:val="single" w:sz="4" w:space="0" w:color="auto"/>
              <w:right w:val="single" w:sz="4" w:space="0" w:color="auto"/>
            </w:tcBorders>
            <w:shd w:val="clear" w:color="auto" w:fill="auto"/>
            <w:noWrap/>
            <w:vAlign w:val="bottom"/>
          </w:tcPr>
          <w:p w14:paraId="7D6D10E1"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30</w:t>
            </w:r>
          </w:p>
        </w:tc>
      </w:tr>
      <w:tr w:rsidR="00982FF1" w:rsidRPr="00982FF1" w14:paraId="0D0298E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954DF44"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31.12.2024.</w:t>
            </w:r>
          </w:p>
        </w:tc>
        <w:tc>
          <w:tcPr>
            <w:tcW w:w="1173" w:type="dxa"/>
            <w:tcBorders>
              <w:top w:val="nil"/>
              <w:left w:val="nil"/>
              <w:bottom w:val="single" w:sz="4" w:space="0" w:color="auto"/>
              <w:right w:val="single" w:sz="4" w:space="0" w:color="auto"/>
            </w:tcBorders>
            <w:shd w:val="clear" w:color="auto" w:fill="auto"/>
            <w:noWrap/>
            <w:vAlign w:val="bottom"/>
          </w:tcPr>
          <w:p w14:paraId="2806145D"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C47F367"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350,11</w:t>
            </w:r>
          </w:p>
        </w:tc>
        <w:tc>
          <w:tcPr>
            <w:tcW w:w="1088" w:type="dxa"/>
            <w:tcBorders>
              <w:top w:val="nil"/>
              <w:left w:val="nil"/>
              <w:bottom w:val="single" w:sz="4" w:space="0" w:color="auto"/>
              <w:right w:val="single" w:sz="4" w:space="0" w:color="auto"/>
            </w:tcBorders>
            <w:shd w:val="clear" w:color="auto" w:fill="auto"/>
            <w:noWrap/>
            <w:vAlign w:val="bottom"/>
          </w:tcPr>
          <w:p w14:paraId="3F517210"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29199C5"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9.874,40</w:t>
            </w:r>
          </w:p>
        </w:tc>
        <w:tc>
          <w:tcPr>
            <w:tcW w:w="1984" w:type="dxa"/>
            <w:tcBorders>
              <w:top w:val="nil"/>
              <w:left w:val="nil"/>
              <w:bottom w:val="single" w:sz="4" w:space="0" w:color="auto"/>
              <w:right w:val="single" w:sz="4" w:space="0" w:color="auto"/>
            </w:tcBorders>
            <w:shd w:val="clear" w:color="auto" w:fill="auto"/>
            <w:noWrap/>
            <w:vAlign w:val="bottom"/>
          </w:tcPr>
          <w:p w14:paraId="16C4D8C2"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285.728,69</w:t>
            </w:r>
          </w:p>
        </w:tc>
        <w:tc>
          <w:tcPr>
            <w:tcW w:w="1016" w:type="dxa"/>
            <w:gridSpan w:val="2"/>
            <w:tcBorders>
              <w:top w:val="nil"/>
              <w:left w:val="nil"/>
              <w:bottom w:val="single" w:sz="4" w:space="0" w:color="auto"/>
              <w:right w:val="single" w:sz="4" w:space="0" w:color="auto"/>
            </w:tcBorders>
            <w:shd w:val="clear" w:color="auto" w:fill="auto"/>
            <w:noWrap/>
            <w:vAlign w:val="bottom"/>
          </w:tcPr>
          <w:p w14:paraId="18BC5B2D"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w:t>
            </w:r>
          </w:p>
        </w:tc>
      </w:tr>
      <w:tr w:rsidR="00982FF1" w:rsidRPr="00982FF1" w14:paraId="1C26F63B"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7AFA6D0"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31.01.2025.</w:t>
            </w:r>
          </w:p>
        </w:tc>
        <w:tc>
          <w:tcPr>
            <w:tcW w:w="1173" w:type="dxa"/>
            <w:tcBorders>
              <w:top w:val="nil"/>
              <w:left w:val="nil"/>
              <w:bottom w:val="single" w:sz="4" w:space="0" w:color="auto"/>
              <w:right w:val="single" w:sz="4" w:space="0" w:color="auto"/>
            </w:tcBorders>
            <w:shd w:val="clear" w:color="auto" w:fill="auto"/>
            <w:noWrap/>
            <w:vAlign w:val="bottom"/>
          </w:tcPr>
          <w:p w14:paraId="689F4071"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07828CF"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339,71</w:t>
            </w:r>
          </w:p>
        </w:tc>
        <w:tc>
          <w:tcPr>
            <w:tcW w:w="1088" w:type="dxa"/>
            <w:tcBorders>
              <w:top w:val="nil"/>
              <w:left w:val="nil"/>
              <w:bottom w:val="single" w:sz="4" w:space="0" w:color="auto"/>
              <w:right w:val="single" w:sz="4" w:space="0" w:color="auto"/>
            </w:tcBorders>
            <w:shd w:val="clear" w:color="auto" w:fill="auto"/>
            <w:noWrap/>
            <w:vAlign w:val="bottom"/>
          </w:tcPr>
          <w:p w14:paraId="5CC26D68"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9EC1150"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9.864,00</w:t>
            </w:r>
          </w:p>
        </w:tc>
        <w:tc>
          <w:tcPr>
            <w:tcW w:w="1984" w:type="dxa"/>
            <w:tcBorders>
              <w:top w:val="nil"/>
              <w:left w:val="nil"/>
              <w:bottom w:val="single" w:sz="4" w:space="0" w:color="auto"/>
              <w:right w:val="single" w:sz="4" w:space="0" w:color="auto"/>
            </w:tcBorders>
            <w:shd w:val="clear" w:color="auto" w:fill="auto"/>
            <w:noWrap/>
            <w:vAlign w:val="bottom"/>
          </w:tcPr>
          <w:p w14:paraId="6060FE6E"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276.204,40</w:t>
            </w:r>
          </w:p>
        </w:tc>
        <w:tc>
          <w:tcPr>
            <w:tcW w:w="1016" w:type="dxa"/>
            <w:gridSpan w:val="2"/>
            <w:tcBorders>
              <w:top w:val="nil"/>
              <w:left w:val="nil"/>
              <w:bottom w:val="single" w:sz="4" w:space="0" w:color="auto"/>
              <w:right w:val="single" w:sz="4" w:space="0" w:color="auto"/>
            </w:tcBorders>
            <w:shd w:val="clear" w:color="auto" w:fill="auto"/>
            <w:noWrap/>
            <w:vAlign w:val="bottom"/>
          </w:tcPr>
          <w:p w14:paraId="040DB009" w14:textId="77777777" w:rsidR="00982FF1" w:rsidRPr="00982FF1" w:rsidRDefault="00982FF1" w:rsidP="00982FF1">
            <w:pPr>
              <w:spacing w:after="0" w:line="240" w:lineRule="auto"/>
              <w:jc w:val="center"/>
              <w:rPr>
                <w:rFonts w:ascii="Times New Roman" w:hAnsi="Times New Roman"/>
                <w:sz w:val="16"/>
                <w:szCs w:val="16"/>
              </w:rPr>
            </w:pPr>
            <w:r w:rsidRPr="00982FF1">
              <w:rPr>
                <w:rFonts w:ascii="Times New Roman" w:hAnsi="Times New Roman"/>
                <w:sz w:val="16"/>
                <w:szCs w:val="16"/>
              </w:rPr>
              <w:t>31</w:t>
            </w:r>
          </w:p>
        </w:tc>
      </w:tr>
      <w:tr w:rsidR="00982FF1" w:rsidRPr="00982FF1" w14:paraId="3FA5C82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DC0E85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28.02.2025.</w:t>
            </w:r>
          </w:p>
        </w:tc>
        <w:tc>
          <w:tcPr>
            <w:tcW w:w="1173" w:type="dxa"/>
            <w:tcBorders>
              <w:top w:val="nil"/>
              <w:left w:val="nil"/>
              <w:bottom w:val="single" w:sz="4" w:space="0" w:color="auto"/>
              <w:right w:val="single" w:sz="4" w:space="0" w:color="auto"/>
            </w:tcBorders>
            <w:shd w:val="clear" w:color="auto" w:fill="auto"/>
            <w:noWrap/>
            <w:vAlign w:val="bottom"/>
          </w:tcPr>
          <w:p w14:paraId="0C9D055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EE321B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296,64</w:t>
            </w:r>
          </w:p>
        </w:tc>
        <w:tc>
          <w:tcPr>
            <w:tcW w:w="1088" w:type="dxa"/>
            <w:tcBorders>
              <w:top w:val="nil"/>
              <w:left w:val="nil"/>
              <w:bottom w:val="single" w:sz="4" w:space="0" w:color="auto"/>
              <w:right w:val="single" w:sz="4" w:space="0" w:color="auto"/>
            </w:tcBorders>
            <w:shd w:val="clear" w:color="auto" w:fill="auto"/>
            <w:noWrap/>
            <w:vAlign w:val="bottom"/>
          </w:tcPr>
          <w:p w14:paraId="6A904E8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D2178F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9.820,93</w:t>
            </w:r>
          </w:p>
        </w:tc>
        <w:tc>
          <w:tcPr>
            <w:tcW w:w="1984" w:type="dxa"/>
            <w:tcBorders>
              <w:top w:val="nil"/>
              <w:left w:val="nil"/>
              <w:bottom w:val="single" w:sz="4" w:space="0" w:color="auto"/>
              <w:right w:val="single" w:sz="4" w:space="0" w:color="auto"/>
            </w:tcBorders>
            <w:shd w:val="clear" w:color="auto" w:fill="auto"/>
            <w:noWrap/>
            <w:vAlign w:val="bottom"/>
          </w:tcPr>
          <w:p w14:paraId="482A997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266.680,11</w:t>
            </w:r>
          </w:p>
        </w:tc>
        <w:tc>
          <w:tcPr>
            <w:tcW w:w="1016" w:type="dxa"/>
            <w:gridSpan w:val="2"/>
            <w:tcBorders>
              <w:top w:val="nil"/>
              <w:left w:val="nil"/>
              <w:bottom w:val="single" w:sz="4" w:space="0" w:color="auto"/>
              <w:right w:val="single" w:sz="4" w:space="0" w:color="auto"/>
            </w:tcBorders>
            <w:shd w:val="clear" w:color="auto" w:fill="auto"/>
            <w:noWrap/>
            <w:vAlign w:val="bottom"/>
          </w:tcPr>
          <w:p w14:paraId="254E15C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28</w:t>
            </w:r>
          </w:p>
        </w:tc>
      </w:tr>
      <w:tr w:rsidR="00982FF1" w:rsidRPr="00982FF1" w14:paraId="37B3ED6C"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5FBA89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31.03.2025.</w:t>
            </w:r>
          </w:p>
        </w:tc>
        <w:tc>
          <w:tcPr>
            <w:tcW w:w="1173" w:type="dxa"/>
            <w:tcBorders>
              <w:top w:val="nil"/>
              <w:left w:val="nil"/>
              <w:bottom w:val="single" w:sz="4" w:space="0" w:color="auto"/>
              <w:right w:val="single" w:sz="4" w:space="0" w:color="auto"/>
            </w:tcBorders>
            <w:shd w:val="clear" w:color="auto" w:fill="auto"/>
            <w:noWrap/>
            <w:vAlign w:val="bottom"/>
          </w:tcPr>
          <w:p w14:paraId="327F02A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D95355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317,09</w:t>
            </w:r>
          </w:p>
        </w:tc>
        <w:tc>
          <w:tcPr>
            <w:tcW w:w="1088" w:type="dxa"/>
            <w:tcBorders>
              <w:top w:val="nil"/>
              <w:left w:val="nil"/>
              <w:bottom w:val="single" w:sz="4" w:space="0" w:color="auto"/>
              <w:right w:val="single" w:sz="4" w:space="0" w:color="auto"/>
            </w:tcBorders>
            <w:shd w:val="clear" w:color="auto" w:fill="auto"/>
            <w:noWrap/>
            <w:vAlign w:val="bottom"/>
          </w:tcPr>
          <w:p w14:paraId="702CAD7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D086E8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9.841,38</w:t>
            </w:r>
          </w:p>
        </w:tc>
        <w:tc>
          <w:tcPr>
            <w:tcW w:w="1984" w:type="dxa"/>
            <w:tcBorders>
              <w:top w:val="nil"/>
              <w:left w:val="nil"/>
              <w:bottom w:val="single" w:sz="4" w:space="0" w:color="auto"/>
              <w:right w:val="single" w:sz="4" w:space="0" w:color="auto"/>
            </w:tcBorders>
            <w:shd w:val="clear" w:color="auto" w:fill="auto"/>
            <w:noWrap/>
            <w:vAlign w:val="bottom"/>
          </w:tcPr>
          <w:p w14:paraId="4785DE7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257.155,82</w:t>
            </w:r>
          </w:p>
        </w:tc>
        <w:tc>
          <w:tcPr>
            <w:tcW w:w="1016" w:type="dxa"/>
            <w:gridSpan w:val="2"/>
            <w:tcBorders>
              <w:top w:val="nil"/>
              <w:left w:val="nil"/>
              <w:bottom w:val="single" w:sz="4" w:space="0" w:color="auto"/>
              <w:right w:val="single" w:sz="4" w:space="0" w:color="auto"/>
            </w:tcBorders>
            <w:shd w:val="clear" w:color="auto" w:fill="auto"/>
            <w:noWrap/>
            <w:vAlign w:val="bottom"/>
          </w:tcPr>
          <w:p w14:paraId="75B4E4A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2828070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CA828A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30.04.2025.</w:t>
            </w:r>
          </w:p>
        </w:tc>
        <w:tc>
          <w:tcPr>
            <w:tcW w:w="1173" w:type="dxa"/>
            <w:tcBorders>
              <w:top w:val="nil"/>
              <w:left w:val="nil"/>
              <w:bottom w:val="single" w:sz="4" w:space="0" w:color="auto"/>
              <w:right w:val="single" w:sz="4" w:space="0" w:color="auto"/>
            </w:tcBorders>
            <w:shd w:val="clear" w:color="auto" w:fill="auto"/>
            <w:noWrap/>
            <w:vAlign w:val="bottom"/>
          </w:tcPr>
          <w:p w14:paraId="2A2CF93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1A60BB2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295,91</w:t>
            </w:r>
          </w:p>
        </w:tc>
        <w:tc>
          <w:tcPr>
            <w:tcW w:w="1088" w:type="dxa"/>
            <w:tcBorders>
              <w:top w:val="nil"/>
              <w:left w:val="nil"/>
              <w:bottom w:val="single" w:sz="4" w:space="0" w:color="auto"/>
              <w:right w:val="single" w:sz="4" w:space="0" w:color="auto"/>
            </w:tcBorders>
            <w:shd w:val="clear" w:color="auto" w:fill="auto"/>
            <w:noWrap/>
            <w:vAlign w:val="bottom"/>
          </w:tcPr>
          <w:p w14:paraId="0BF94FD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677CDA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9.820,20</w:t>
            </w:r>
          </w:p>
        </w:tc>
        <w:tc>
          <w:tcPr>
            <w:tcW w:w="1984" w:type="dxa"/>
            <w:tcBorders>
              <w:top w:val="nil"/>
              <w:left w:val="nil"/>
              <w:bottom w:val="single" w:sz="4" w:space="0" w:color="auto"/>
              <w:right w:val="single" w:sz="4" w:space="0" w:color="auto"/>
            </w:tcBorders>
            <w:shd w:val="clear" w:color="auto" w:fill="auto"/>
            <w:noWrap/>
            <w:vAlign w:val="bottom"/>
          </w:tcPr>
          <w:p w14:paraId="6D1A745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247.621,53</w:t>
            </w:r>
          </w:p>
        </w:tc>
        <w:tc>
          <w:tcPr>
            <w:tcW w:w="1016" w:type="dxa"/>
            <w:gridSpan w:val="2"/>
            <w:tcBorders>
              <w:top w:val="nil"/>
              <w:left w:val="nil"/>
              <w:bottom w:val="single" w:sz="4" w:space="0" w:color="auto"/>
              <w:right w:val="single" w:sz="4" w:space="0" w:color="auto"/>
            </w:tcBorders>
            <w:shd w:val="clear" w:color="auto" w:fill="auto"/>
            <w:noWrap/>
            <w:vAlign w:val="bottom"/>
          </w:tcPr>
          <w:p w14:paraId="2AEED9D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4CAB523E"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22A1EC3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31.05.2025.</w:t>
            </w:r>
          </w:p>
        </w:tc>
        <w:tc>
          <w:tcPr>
            <w:tcW w:w="1173" w:type="dxa"/>
            <w:tcBorders>
              <w:top w:val="nil"/>
              <w:left w:val="nil"/>
              <w:bottom w:val="single" w:sz="4" w:space="0" w:color="auto"/>
              <w:right w:val="single" w:sz="4" w:space="0" w:color="auto"/>
            </w:tcBorders>
            <w:shd w:val="clear" w:color="auto" w:fill="auto"/>
            <w:noWrap/>
            <w:vAlign w:val="bottom"/>
          </w:tcPr>
          <w:p w14:paraId="38F0941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06DE51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294,44</w:t>
            </w:r>
          </w:p>
        </w:tc>
        <w:tc>
          <w:tcPr>
            <w:tcW w:w="1088" w:type="dxa"/>
            <w:tcBorders>
              <w:top w:val="nil"/>
              <w:left w:val="nil"/>
              <w:bottom w:val="single" w:sz="4" w:space="0" w:color="auto"/>
              <w:right w:val="single" w:sz="4" w:space="0" w:color="auto"/>
            </w:tcBorders>
            <w:shd w:val="clear" w:color="auto" w:fill="auto"/>
            <w:noWrap/>
            <w:vAlign w:val="bottom"/>
          </w:tcPr>
          <w:p w14:paraId="12FB4A3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4D5A570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9.818,73</w:t>
            </w:r>
          </w:p>
        </w:tc>
        <w:tc>
          <w:tcPr>
            <w:tcW w:w="1984" w:type="dxa"/>
            <w:tcBorders>
              <w:top w:val="nil"/>
              <w:left w:val="nil"/>
              <w:bottom w:val="single" w:sz="4" w:space="0" w:color="auto"/>
              <w:right w:val="single" w:sz="4" w:space="0" w:color="auto"/>
            </w:tcBorders>
            <w:shd w:val="clear" w:color="auto" w:fill="auto"/>
            <w:noWrap/>
            <w:vAlign w:val="bottom"/>
          </w:tcPr>
          <w:p w14:paraId="1DC8837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238.107,24</w:t>
            </w:r>
          </w:p>
        </w:tc>
        <w:tc>
          <w:tcPr>
            <w:tcW w:w="1016" w:type="dxa"/>
            <w:gridSpan w:val="2"/>
            <w:tcBorders>
              <w:top w:val="nil"/>
              <w:left w:val="nil"/>
              <w:bottom w:val="single" w:sz="4" w:space="0" w:color="auto"/>
              <w:right w:val="single" w:sz="4" w:space="0" w:color="auto"/>
            </w:tcBorders>
            <w:shd w:val="clear" w:color="auto" w:fill="auto"/>
            <w:noWrap/>
            <w:vAlign w:val="bottom"/>
          </w:tcPr>
          <w:p w14:paraId="3069248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305BFB3D"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637EF06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30.06.2025.</w:t>
            </w:r>
          </w:p>
        </w:tc>
        <w:tc>
          <w:tcPr>
            <w:tcW w:w="1173" w:type="dxa"/>
            <w:tcBorders>
              <w:top w:val="nil"/>
              <w:left w:val="nil"/>
              <w:bottom w:val="single" w:sz="4" w:space="0" w:color="auto"/>
              <w:right w:val="single" w:sz="4" w:space="0" w:color="auto"/>
            </w:tcBorders>
            <w:shd w:val="clear" w:color="auto" w:fill="auto"/>
            <w:noWrap/>
            <w:vAlign w:val="bottom"/>
          </w:tcPr>
          <w:p w14:paraId="17D8D3F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44887F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273,99</w:t>
            </w:r>
          </w:p>
        </w:tc>
        <w:tc>
          <w:tcPr>
            <w:tcW w:w="1088" w:type="dxa"/>
            <w:tcBorders>
              <w:top w:val="nil"/>
              <w:left w:val="nil"/>
              <w:bottom w:val="single" w:sz="4" w:space="0" w:color="auto"/>
              <w:right w:val="single" w:sz="4" w:space="0" w:color="auto"/>
            </w:tcBorders>
            <w:shd w:val="clear" w:color="auto" w:fill="auto"/>
            <w:noWrap/>
            <w:vAlign w:val="bottom"/>
          </w:tcPr>
          <w:p w14:paraId="1D9400E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1F30AA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9.798,28</w:t>
            </w:r>
          </w:p>
        </w:tc>
        <w:tc>
          <w:tcPr>
            <w:tcW w:w="1984" w:type="dxa"/>
            <w:tcBorders>
              <w:top w:val="nil"/>
              <w:left w:val="nil"/>
              <w:bottom w:val="single" w:sz="4" w:space="0" w:color="auto"/>
              <w:right w:val="single" w:sz="4" w:space="0" w:color="auto"/>
            </w:tcBorders>
            <w:shd w:val="clear" w:color="auto" w:fill="auto"/>
            <w:noWrap/>
            <w:vAlign w:val="bottom"/>
          </w:tcPr>
          <w:p w14:paraId="73ECDB7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228.582,95</w:t>
            </w:r>
          </w:p>
        </w:tc>
        <w:tc>
          <w:tcPr>
            <w:tcW w:w="1016" w:type="dxa"/>
            <w:gridSpan w:val="2"/>
            <w:tcBorders>
              <w:top w:val="nil"/>
              <w:left w:val="nil"/>
              <w:bottom w:val="single" w:sz="4" w:space="0" w:color="auto"/>
              <w:right w:val="single" w:sz="4" w:space="0" w:color="auto"/>
            </w:tcBorders>
            <w:shd w:val="clear" w:color="auto" w:fill="auto"/>
            <w:noWrap/>
            <w:vAlign w:val="bottom"/>
          </w:tcPr>
          <w:p w14:paraId="60AB8D6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2F28D065"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3C218B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31.07.2025.</w:t>
            </w:r>
          </w:p>
        </w:tc>
        <w:tc>
          <w:tcPr>
            <w:tcW w:w="1173" w:type="dxa"/>
            <w:tcBorders>
              <w:top w:val="nil"/>
              <w:left w:val="nil"/>
              <w:bottom w:val="single" w:sz="4" w:space="0" w:color="auto"/>
              <w:right w:val="single" w:sz="4" w:space="0" w:color="auto"/>
            </w:tcBorders>
            <w:shd w:val="clear" w:color="auto" w:fill="auto"/>
            <w:noWrap/>
            <w:vAlign w:val="bottom"/>
          </w:tcPr>
          <w:p w14:paraId="583A2DB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AF8C98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271,79</w:t>
            </w:r>
          </w:p>
        </w:tc>
        <w:tc>
          <w:tcPr>
            <w:tcW w:w="1088" w:type="dxa"/>
            <w:tcBorders>
              <w:top w:val="nil"/>
              <w:left w:val="nil"/>
              <w:bottom w:val="single" w:sz="4" w:space="0" w:color="auto"/>
              <w:right w:val="single" w:sz="4" w:space="0" w:color="auto"/>
            </w:tcBorders>
            <w:shd w:val="clear" w:color="auto" w:fill="auto"/>
            <w:noWrap/>
            <w:vAlign w:val="bottom"/>
          </w:tcPr>
          <w:p w14:paraId="455735A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DB20EB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9.796,08</w:t>
            </w:r>
          </w:p>
        </w:tc>
        <w:tc>
          <w:tcPr>
            <w:tcW w:w="1984" w:type="dxa"/>
            <w:tcBorders>
              <w:top w:val="nil"/>
              <w:left w:val="nil"/>
              <w:bottom w:val="single" w:sz="4" w:space="0" w:color="auto"/>
              <w:right w:val="single" w:sz="4" w:space="0" w:color="auto"/>
            </w:tcBorders>
            <w:shd w:val="clear" w:color="auto" w:fill="auto"/>
            <w:noWrap/>
            <w:vAlign w:val="bottom"/>
          </w:tcPr>
          <w:p w14:paraId="72EACA5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219.058,66</w:t>
            </w:r>
          </w:p>
        </w:tc>
        <w:tc>
          <w:tcPr>
            <w:tcW w:w="1016" w:type="dxa"/>
            <w:gridSpan w:val="2"/>
            <w:tcBorders>
              <w:top w:val="nil"/>
              <w:left w:val="nil"/>
              <w:bottom w:val="single" w:sz="4" w:space="0" w:color="auto"/>
              <w:right w:val="single" w:sz="4" w:space="0" w:color="auto"/>
            </w:tcBorders>
            <w:shd w:val="clear" w:color="auto" w:fill="auto"/>
            <w:noWrap/>
            <w:vAlign w:val="bottom"/>
          </w:tcPr>
          <w:p w14:paraId="3462036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3C7E821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4BCF8DF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lastRenderedPageBreak/>
              <w:t>31.08.2025.</w:t>
            </w:r>
          </w:p>
        </w:tc>
        <w:tc>
          <w:tcPr>
            <w:tcW w:w="1173" w:type="dxa"/>
            <w:tcBorders>
              <w:top w:val="nil"/>
              <w:left w:val="nil"/>
              <w:bottom w:val="single" w:sz="4" w:space="0" w:color="auto"/>
              <w:right w:val="single" w:sz="4" w:space="0" w:color="auto"/>
            </w:tcBorders>
            <w:shd w:val="clear" w:color="auto" w:fill="auto"/>
            <w:noWrap/>
            <w:vAlign w:val="bottom"/>
          </w:tcPr>
          <w:p w14:paraId="7485AC9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73C279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260,47</w:t>
            </w:r>
          </w:p>
        </w:tc>
        <w:tc>
          <w:tcPr>
            <w:tcW w:w="1088" w:type="dxa"/>
            <w:tcBorders>
              <w:top w:val="nil"/>
              <w:left w:val="nil"/>
              <w:bottom w:val="single" w:sz="4" w:space="0" w:color="auto"/>
              <w:right w:val="single" w:sz="4" w:space="0" w:color="auto"/>
            </w:tcBorders>
            <w:shd w:val="clear" w:color="auto" w:fill="auto"/>
            <w:noWrap/>
            <w:vAlign w:val="bottom"/>
          </w:tcPr>
          <w:p w14:paraId="69C72E1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940BDB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9.784,76</w:t>
            </w:r>
          </w:p>
        </w:tc>
        <w:tc>
          <w:tcPr>
            <w:tcW w:w="1984" w:type="dxa"/>
            <w:tcBorders>
              <w:top w:val="nil"/>
              <w:left w:val="nil"/>
              <w:bottom w:val="single" w:sz="4" w:space="0" w:color="auto"/>
              <w:right w:val="single" w:sz="4" w:space="0" w:color="auto"/>
            </w:tcBorders>
            <w:shd w:val="clear" w:color="auto" w:fill="auto"/>
            <w:noWrap/>
            <w:vAlign w:val="bottom"/>
          </w:tcPr>
          <w:p w14:paraId="63BBE62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209.534,37</w:t>
            </w:r>
          </w:p>
        </w:tc>
        <w:tc>
          <w:tcPr>
            <w:tcW w:w="1016" w:type="dxa"/>
            <w:gridSpan w:val="2"/>
            <w:tcBorders>
              <w:top w:val="nil"/>
              <w:left w:val="nil"/>
              <w:bottom w:val="single" w:sz="4" w:space="0" w:color="auto"/>
              <w:right w:val="single" w:sz="4" w:space="0" w:color="auto"/>
            </w:tcBorders>
            <w:shd w:val="clear" w:color="auto" w:fill="auto"/>
            <w:noWrap/>
            <w:vAlign w:val="bottom"/>
          </w:tcPr>
          <w:p w14:paraId="3A78847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52DD8BB3"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C51F41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30.09.2025.</w:t>
            </w:r>
          </w:p>
        </w:tc>
        <w:tc>
          <w:tcPr>
            <w:tcW w:w="1173" w:type="dxa"/>
            <w:tcBorders>
              <w:top w:val="nil"/>
              <w:left w:val="nil"/>
              <w:bottom w:val="single" w:sz="4" w:space="0" w:color="auto"/>
              <w:right w:val="single" w:sz="4" w:space="0" w:color="auto"/>
            </w:tcBorders>
            <w:shd w:val="clear" w:color="auto" w:fill="auto"/>
            <w:noWrap/>
            <w:vAlign w:val="bottom"/>
          </w:tcPr>
          <w:p w14:paraId="4F0EE01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8B8A1B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241,11</w:t>
            </w:r>
          </w:p>
        </w:tc>
        <w:tc>
          <w:tcPr>
            <w:tcW w:w="1088" w:type="dxa"/>
            <w:tcBorders>
              <w:top w:val="nil"/>
              <w:left w:val="nil"/>
              <w:bottom w:val="single" w:sz="4" w:space="0" w:color="auto"/>
              <w:right w:val="single" w:sz="4" w:space="0" w:color="auto"/>
            </w:tcBorders>
            <w:shd w:val="clear" w:color="auto" w:fill="auto"/>
            <w:noWrap/>
            <w:vAlign w:val="bottom"/>
          </w:tcPr>
          <w:p w14:paraId="2E21840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6D325D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9.765,40</w:t>
            </w:r>
          </w:p>
        </w:tc>
        <w:tc>
          <w:tcPr>
            <w:tcW w:w="1984" w:type="dxa"/>
            <w:tcBorders>
              <w:top w:val="nil"/>
              <w:left w:val="nil"/>
              <w:bottom w:val="single" w:sz="4" w:space="0" w:color="auto"/>
              <w:right w:val="single" w:sz="4" w:space="0" w:color="auto"/>
            </w:tcBorders>
            <w:shd w:val="clear" w:color="auto" w:fill="auto"/>
            <w:noWrap/>
            <w:vAlign w:val="bottom"/>
          </w:tcPr>
          <w:p w14:paraId="7D5F510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200.010,08</w:t>
            </w:r>
          </w:p>
        </w:tc>
        <w:tc>
          <w:tcPr>
            <w:tcW w:w="1016" w:type="dxa"/>
            <w:gridSpan w:val="2"/>
            <w:tcBorders>
              <w:top w:val="nil"/>
              <w:left w:val="nil"/>
              <w:bottom w:val="single" w:sz="4" w:space="0" w:color="auto"/>
              <w:right w:val="single" w:sz="4" w:space="0" w:color="auto"/>
            </w:tcBorders>
            <w:shd w:val="clear" w:color="auto" w:fill="auto"/>
            <w:noWrap/>
            <w:vAlign w:val="bottom"/>
          </w:tcPr>
          <w:p w14:paraId="4CB4E5B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3436280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845334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31.10.2025.</w:t>
            </w:r>
          </w:p>
        </w:tc>
        <w:tc>
          <w:tcPr>
            <w:tcW w:w="1173" w:type="dxa"/>
            <w:tcBorders>
              <w:top w:val="nil"/>
              <w:left w:val="nil"/>
              <w:bottom w:val="single" w:sz="4" w:space="0" w:color="auto"/>
              <w:right w:val="single" w:sz="4" w:space="0" w:color="auto"/>
            </w:tcBorders>
            <w:shd w:val="clear" w:color="auto" w:fill="auto"/>
            <w:noWrap/>
            <w:vAlign w:val="bottom"/>
          </w:tcPr>
          <w:p w14:paraId="31CD488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2B63D75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237,82</w:t>
            </w:r>
          </w:p>
        </w:tc>
        <w:tc>
          <w:tcPr>
            <w:tcW w:w="1088" w:type="dxa"/>
            <w:tcBorders>
              <w:top w:val="nil"/>
              <w:left w:val="nil"/>
              <w:bottom w:val="single" w:sz="4" w:space="0" w:color="auto"/>
              <w:right w:val="single" w:sz="4" w:space="0" w:color="auto"/>
            </w:tcBorders>
            <w:shd w:val="clear" w:color="auto" w:fill="auto"/>
            <w:noWrap/>
            <w:vAlign w:val="bottom"/>
          </w:tcPr>
          <w:p w14:paraId="30498B0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066BA7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9.762,11</w:t>
            </w:r>
          </w:p>
        </w:tc>
        <w:tc>
          <w:tcPr>
            <w:tcW w:w="1984" w:type="dxa"/>
            <w:tcBorders>
              <w:top w:val="nil"/>
              <w:left w:val="nil"/>
              <w:bottom w:val="single" w:sz="4" w:space="0" w:color="auto"/>
              <w:right w:val="single" w:sz="4" w:space="0" w:color="auto"/>
            </w:tcBorders>
            <w:shd w:val="clear" w:color="auto" w:fill="auto"/>
            <w:noWrap/>
            <w:vAlign w:val="bottom"/>
          </w:tcPr>
          <w:p w14:paraId="500C794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190.485,79</w:t>
            </w:r>
          </w:p>
        </w:tc>
        <w:tc>
          <w:tcPr>
            <w:tcW w:w="1016" w:type="dxa"/>
            <w:gridSpan w:val="2"/>
            <w:tcBorders>
              <w:top w:val="nil"/>
              <w:left w:val="nil"/>
              <w:bottom w:val="single" w:sz="4" w:space="0" w:color="auto"/>
              <w:right w:val="single" w:sz="4" w:space="0" w:color="auto"/>
            </w:tcBorders>
            <w:shd w:val="clear" w:color="auto" w:fill="auto"/>
            <w:noWrap/>
            <w:vAlign w:val="bottom"/>
          </w:tcPr>
          <w:p w14:paraId="0995003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2C8CD3D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CA9890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30.11.2025.</w:t>
            </w:r>
          </w:p>
        </w:tc>
        <w:tc>
          <w:tcPr>
            <w:tcW w:w="1173" w:type="dxa"/>
            <w:tcBorders>
              <w:top w:val="nil"/>
              <w:left w:val="nil"/>
              <w:bottom w:val="single" w:sz="4" w:space="0" w:color="auto"/>
              <w:right w:val="single" w:sz="4" w:space="0" w:color="auto"/>
            </w:tcBorders>
            <w:shd w:val="clear" w:color="auto" w:fill="auto"/>
            <w:noWrap/>
            <w:vAlign w:val="bottom"/>
          </w:tcPr>
          <w:p w14:paraId="2EFAA32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60516E7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219,19</w:t>
            </w:r>
          </w:p>
        </w:tc>
        <w:tc>
          <w:tcPr>
            <w:tcW w:w="1088" w:type="dxa"/>
            <w:tcBorders>
              <w:top w:val="nil"/>
              <w:left w:val="nil"/>
              <w:bottom w:val="single" w:sz="4" w:space="0" w:color="auto"/>
              <w:right w:val="single" w:sz="4" w:space="0" w:color="auto"/>
            </w:tcBorders>
            <w:shd w:val="clear" w:color="auto" w:fill="auto"/>
            <w:noWrap/>
            <w:vAlign w:val="bottom"/>
          </w:tcPr>
          <w:p w14:paraId="2F08F6D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5F2AE3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9.743,48</w:t>
            </w:r>
          </w:p>
        </w:tc>
        <w:tc>
          <w:tcPr>
            <w:tcW w:w="1984" w:type="dxa"/>
            <w:tcBorders>
              <w:top w:val="nil"/>
              <w:left w:val="nil"/>
              <w:bottom w:val="single" w:sz="4" w:space="0" w:color="auto"/>
              <w:right w:val="single" w:sz="4" w:space="0" w:color="auto"/>
            </w:tcBorders>
            <w:shd w:val="clear" w:color="auto" w:fill="auto"/>
            <w:noWrap/>
            <w:vAlign w:val="bottom"/>
          </w:tcPr>
          <w:p w14:paraId="4A121D1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180.961,50</w:t>
            </w:r>
          </w:p>
        </w:tc>
        <w:tc>
          <w:tcPr>
            <w:tcW w:w="1016" w:type="dxa"/>
            <w:gridSpan w:val="2"/>
            <w:tcBorders>
              <w:top w:val="nil"/>
              <w:left w:val="nil"/>
              <w:bottom w:val="single" w:sz="4" w:space="0" w:color="auto"/>
              <w:right w:val="single" w:sz="4" w:space="0" w:color="auto"/>
            </w:tcBorders>
            <w:shd w:val="clear" w:color="auto" w:fill="auto"/>
            <w:noWrap/>
            <w:vAlign w:val="bottom"/>
          </w:tcPr>
          <w:p w14:paraId="33F3D70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68538DF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1A72CE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31.12.2025.</w:t>
            </w:r>
          </w:p>
        </w:tc>
        <w:tc>
          <w:tcPr>
            <w:tcW w:w="1173" w:type="dxa"/>
            <w:tcBorders>
              <w:top w:val="nil"/>
              <w:left w:val="nil"/>
              <w:bottom w:val="single" w:sz="4" w:space="0" w:color="auto"/>
              <w:right w:val="single" w:sz="4" w:space="0" w:color="auto"/>
            </w:tcBorders>
            <w:shd w:val="clear" w:color="auto" w:fill="auto"/>
            <w:noWrap/>
            <w:vAlign w:val="bottom"/>
          </w:tcPr>
          <w:p w14:paraId="75727F4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48A573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215,17</w:t>
            </w:r>
          </w:p>
        </w:tc>
        <w:tc>
          <w:tcPr>
            <w:tcW w:w="1088" w:type="dxa"/>
            <w:tcBorders>
              <w:top w:val="nil"/>
              <w:left w:val="nil"/>
              <w:bottom w:val="single" w:sz="4" w:space="0" w:color="auto"/>
              <w:right w:val="single" w:sz="4" w:space="0" w:color="auto"/>
            </w:tcBorders>
            <w:shd w:val="clear" w:color="auto" w:fill="auto"/>
            <w:noWrap/>
            <w:vAlign w:val="bottom"/>
          </w:tcPr>
          <w:p w14:paraId="0A415D5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8A74D9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9.739,46</w:t>
            </w:r>
          </w:p>
        </w:tc>
        <w:tc>
          <w:tcPr>
            <w:tcW w:w="1984" w:type="dxa"/>
            <w:tcBorders>
              <w:top w:val="nil"/>
              <w:left w:val="nil"/>
              <w:bottom w:val="single" w:sz="4" w:space="0" w:color="auto"/>
              <w:right w:val="single" w:sz="4" w:space="0" w:color="auto"/>
            </w:tcBorders>
            <w:shd w:val="clear" w:color="auto" w:fill="auto"/>
            <w:noWrap/>
            <w:vAlign w:val="bottom"/>
          </w:tcPr>
          <w:p w14:paraId="15596CE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171.437,21</w:t>
            </w:r>
          </w:p>
        </w:tc>
        <w:tc>
          <w:tcPr>
            <w:tcW w:w="1016" w:type="dxa"/>
            <w:gridSpan w:val="2"/>
            <w:tcBorders>
              <w:top w:val="nil"/>
              <w:left w:val="nil"/>
              <w:bottom w:val="single" w:sz="4" w:space="0" w:color="auto"/>
              <w:right w:val="single" w:sz="4" w:space="0" w:color="auto"/>
            </w:tcBorders>
            <w:shd w:val="clear" w:color="auto" w:fill="auto"/>
            <w:noWrap/>
            <w:vAlign w:val="bottom"/>
          </w:tcPr>
          <w:p w14:paraId="22B3D73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508DF72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687A907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31.01.2026.</w:t>
            </w:r>
          </w:p>
        </w:tc>
        <w:tc>
          <w:tcPr>
            <w:tcW w:w="1173" w:type="dxa"/>
            <w:tcBorders>
              <w:top w:val="nil"/>
              <w:left w:val="nil"/>
              <w:bottom w:val="single" w:sz="4" w:space="0" w:color="auto"/>
              <w:right w:val="single" w:sz="4" w:space="0" w:color="auto"/>
            </w:tcBorders>
            <w:shd w:val="clear" w:color="auto" w:fill="auto"/>
            <w:noWrap/>
            <w:vAlign w:val="bottom"/>
          </w:tcPr>
          <w:p w14:paraId="41057E4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ACB0B9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203,85</w:t>
            </w:r>
          </w:p>
        </w:tc>
        <w:tc>
          <w:tcPr>
            <w:tcW w:w="1088" w:type="dxa"/>
            <w:tcBorders>
              <w:top w:val="nil"/>
              <w:left w:val="nil"/>
              <w:bottom w:val="single" w:sz="4" w:space="0" w:color="auto"/>
              <w:right w:val="single" w:sz="4" w:space="0" w:color="auto"/>
            </w:tcBorders>
            <w:shd w:val="clear" w:color="auto" w:fill="auto"/>
            <w:noWrap/>
            <w:vAlign w:val="bottom"/>
          </w:tcPr>
          <w:p w14:paraId="2A89765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68E3F3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9.728,14</w:t>
            </w:r>
          </w:p>
        </w:tc>
        <w:tc>
          <w:tcPr>
            <w:tcW w:w="1984" w:type="dxa"/>
            <w:tcBorders>
              <w:top w:val="nil"/>
              <w:left w:val="nil"/>
              <w:bottom w:val="single" w:sz="4" w:space="0" w:color="auto"/>
              <w:right w:val="single" w:sz="4" w:space="0" w:color="auto"/>
            </w:tcBorders>
            <w:shd w:val="clear" w:color="auto" w:fill="auto"/>
            <w:noWrap/>
            <w:vAlign w:val="bottom"/>
          </w:tcPr>
          <w:p w14:paraId="4A1D4AF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161.912,92</w:t>
            </w:r>
          </w:p>
        </w:tc>
        <w:tc>
          <w:tcPr>
            <w:tcW w:w="1016" w:type="dxa"/>
            <w:gridSpan w:val="2"/>
            <w:tcBorders>
              <w:top w:val="nil"/>
              <w:left w:val="nil"/>
              <w:bottom w:val="single" w:sz="4" w:space="0" w:color="auto"/>
              <w:right w:val="single" w:sz="4" w:space="0" w:color="auto"/>
            </w:tcBorders>
            <w:shd w:val="clear" w:color="auto" w:fill="auto"/>
            <w:noWrap/>
            <w:vAlign w:val="bottom"/>
          </w:tcPr>
          <w:p w14:paraId="60D117E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7DCCBA0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14F093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28.02.2026.</w:t>
            </w:r>
          </w:p>
        </w:tc>
        <w:tc>
          <w:tcPr>
            <w:tcW w:w="1173" w:type="dxa"/>
            <w:tcBorders>
              <w:top w:val="nil"/>
              <w:left w:val="nil"/>
              <w:bottom w:val="single" w:sz="4" w:space="0" w:color="auto"/>
              <w:right w:val="single" w:sz="4" w:space="0" w:color="auto"/>
            </w:tcBorders>
            <w:shd w:val="clear" w:color="auto" w:fill="auto"/>
            <w:noWrap/>
            <w:vAlign w:val="bottom"/>
          </w:tcPr>
          <w:p w14:paraId="0020E3A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8CAA73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173,89</w:t>
            </w:r>
          </w:p>
        </w:tc>
        <w:tc>
          <w:tcPr>
            <w:tcW w:w="1088" w:type="dxa"/>
            <w:tcBorders>
              <w:top w:val="nil"/>
              <w:left w:val="nil"/>
              <w:bottom w:val="single" w:sz="4" w:space="0" w:color="auto"/>
              <w:right w:val="single" w:sz="4" w:space="0" w:color="auto"/>
            </w:tcBorders>
            <w:shd w:val="clear" w:color="auto" w:fill="auto"/>
            <w:noWrap/>
            <w:vAlign w:val="bottom"/>
          </w:tcPr>
          <w:p w14:paraId="617E5E4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47F465F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9.698,18</w:t>
            </w:r>
          </w:p>
        </w:tc>
        <w:tc>
          <w:tcPr>
            <w:tcW w:w="1984" w:type="dxa"/>
            <w:tcBorders>
              <w:top w:val="nil"/>
              <w:left w:val="nil"/>
              <w:bottom w:val="single" w:sz="4" w:space="0" w:color="auto"/>
              <w:right w:val="single" w:sz="4" w:space="0" w:color="auto"/>
            </w:tcBorders>
            <w:shd w:val="clear" w:color="auto" w:fill="auto"/>
            <w:noWrap/>
            <w:vAlign w:val="bottom"/>
          </w:tcPr>
          <w:p w14:paraId="05F9640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152.388,63</w:t>
            </w:r>
          </w:p>
        </w:tc>
        <w:tc>
          <w:tcPr>
            <w:tcW w:w="1016" w:type="dxa"/>
            <w:gridSpan w:val="2"/>
            <w:tcBorders>
              <w:top w:val="nil"/>
              <w:left w:val="nil"/>
              <w:bottom w:val="single" w:sz="4" w:space="0" w:color="auto"/>
              <w:right w:val="single" w:sz="4" w:space="0" w:color="auto"/>
            </w:tcBorders>
            <w:shd w:val="clear" w:color="auto" w:fill="auto"/>
            <w:noWrap/>
            <w:vAlign w:val="bottom"/>
          </w:tcPr>
          <w:p w14:paraId="4B7FB84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28</w:t>
            </w:r>
          </w:p>
        </w:tc>
      </w:tr>
      <w:tr w:rsidR="00982FF1" w:rsidRPr="00982FF1" w14:paraId="0120A560"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208A62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31.03.2026.</w:t>
            </w:r>
          </w:p>
        </w:tc>
        <w:tc>
          <w:tcPr>
            <w:tcW w:w="1173" w:type="dxa"/>
            <w:tcBorders>
              <w:top w:val="nil"/>
              <w:left w:val="nil"/>
              <w:bottom w:val="single" w:sz="4" w:space="0" w:color="auto"/>
              <w:right w:val="single" w:sz="4" w:space="0" w:color="auto"/>
            </w:tcBorders>
            <w:shd w:val="clear" w:color="auto" w:fill="auto"/>
            <w:noWrap/>
            <w:vAlign w:val="bottom"/>
          </w:tcPr>
          <w:p w14:paraId="10DA443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2078A27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181,20</w:t>
            </w:r>
          </w:p>
        </w:tc>
        <w:tc>
          <w:tcPr>
            <w:tcW w:w="1088" w:type="dxa"/>
            <w:tcBorders>
              <w:top w:val="nil"/>
              <w:left w:val="nil"/>
              <w:bottom w:val="single" w:sz="4" w:space="0" w:color="auto"/>
              <w:right w:val="single" w:sz="4" w:space="0" w:color="auto"/>
            </w:tcBorders>
            <w:shd w:val="clear" w:color="auto" w:fill="auto"/>
            <w:noWrap/>
            <w:vAlign w:val="bottom"/>
          </w:tcPr>
          <w:p w14:paraId="4EFE7671"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312AF8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9.705,49</w:t>
            </w:r>
          </w:p>
        </w:tc>
        <w:tc>
          <w:tcPr>
            <w:tcW w:w="1984" w:type="dxa"/>
            <w:tcBorders>
              <w:top w:val="nil"/>
              <w:left w:val="nil"/>
              <w:bottom w:val="single" w:sz="4" w:space="0" w:color="auto"/>
              <w:right w:val="single" w:sz="4" w:space="0" w:color="auto"/>
            </w:tcBorders>
            <w:shd w:val="clear" w:color="auto" w:fill="auto"/>
            <w:noWrap/>
            <w:vAlign w:val="bottom"/>
          </w:tcPr>
          <w:p w14:paraId="4EE3DBA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142.864,34</w:t>
            </w:r>
          </w:p>
        </w:tc>
        <w:tc>
          <w:tcPr>
            <w:tcW w:w="1016" w:type="dxa"/>
            <w:gridSpan w:val="2"/>
            <w:tcBorders>
              <w:top w:val="nil"/>
              <w:left w:val="nil"/>
              <w:bottom w:val="single" w:sz="4" w:space="0" w:color="auto"/>
              <w:right w:val="single" w:sz="4" w:space="0" w:color="auto"/>
            </w:tcBorders>
            <w:shd w:val="clear" w:color="auto" w:fill="auto"/>
            <w:noWrap/>
            <w:vAlign w:val="bottom"/>
          </w:tcPr>
          <w:p w14:paraId="166D7B5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584FE27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C750A4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30.04.2026.</w:t>
            </w:r>
          </w:p>
        </w:tc>
        <w:tc>
          <w:tcPr>
            <w:tcW w:w="1173" w:type="dxa"/>
            <w:tcBorders>
              <w:top w:val="nil"/>
              <w:left w:val="nil"/>
              <w:bottom w:val="single" w:sz="4" w:space="0" w:color="auto"/>
              <w:right w:val="single" w:sz="4" w:space="0" w:color="auto"/>
            </w:tcBorders>
            <w:shd w:val="clear" w:color="auto" w:fill="auto"/>
            <w:noWrap/>
            <w:vAlign w:val="bottom"/>
          </w:tcPr>
          <w:p w14:paraId="1117F45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5F04F1B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164,39</w:t>
            </w:r>
          </w:p>
        </w:tc>
        <w:tc>
          <w:tcPr>
            <w:tcW w:w="1088" w:type="dxa"/>
            <w:tcBorders>
              <w:top w:val="nil"/>
              <w:left w:val="nil"/>
              <w:bottom w:val="single" w:sz="4" w:space="0" w:color="auto"/>
              <w:right w:val="single" w:sz="4" w:space="0" w:color="auto"/>
            </w:tcBorders>
            <w:shd w:val="clear" w:color="auto" w:fill="auto"/>
            <w:noWrap/>
            <w:vAlign w:val="bottom"/>
          </w:tcPr>
          <w:p w14:paraId="5BBAB47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4AA9DD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9.688,68</w:t>
            </w:r>
          </w:p>
        </w:tc>
        <w:tc>
          <w:tcPr>
            <w:tcW w:w="1984" w:type="dxa"/>
            <w:tcBorders>
              <w:top w:val="nil"/>
              <w:left w:val="nil"/>
              <w:bottom w:val="single" w:sz="4" w:space="0" w:color="auto"/>
              <w:right w:val="single" w:sz="4" w:space="0" w:color="auto"/>
            </w:tcBorders>
            <w:shd w:val="clear" w:color="auto" w:fill="auto"/>
            <w:noWrap/>
            <w:vAlign w:val="bottom"/>
          </w:tcPr>
          <w:p w14:paraId="4075FBB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133.340,05</w:t>
            </w:r>
          </w:p>
        </w:tc>
        <w:tc>
          <w:tcPr>
            <w:tcW w:w="1016" w:type="dxa"/>
            <w:gridSpan w:val="2"/>
            <w:tcBorders>
              <w:top w:val="nil"/>
              <w:left w:val="nil"/>
              <w:bottom w:val="single" w:sz="4" w:space="0" w:color="auto"/>
              <w:right w:val="single" w:sz="4" w:space="0" w:color="auto"/>
            </w:tcBorders>
            <w:shd w:val="clear" w:color="auto" w:fill="auto"/>
            <w:noWrap/>
            <w:vAlign w:val="bottom"/>
          </w:tcPr>
          <w:p w14:paraId="0945DD8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7D195E9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BB02DC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31.05.2026.</w:t>
            </w:r>
          </w:p>
        </w:tc>
        <w:tc>
          <w:tcPr>
            <w:tcW w:w="1173" w:type="dxa"/>
            <w:tcBorders>
              <w:top w:val="nil"/>
              <w:left w:val="nil"/>
              <w:bottom w:val="single" w:sz="4" w:space="0" w:color="auto"/>
              <w:right w:val="single" w:sz="4" w:space="0" w:color="auto"/>
            </w:tcBorders>
            <w:shd w:val="clear" w:color="auto" w:fill="auto"/>
            <w:noWrap/>
            <w:vAlign w:val="bottom"/>
          </w:tcPr>
          <w:p w14:paraId="00D8DB6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1A65A30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158,55</w:t>
            </w:r>
          </w:p>
        </w:tc>
        <w:tc>
          <w:tcPr>
            <w:tcW w:w="1088" w:type="dxa"/>
            <w:tcBorders>
              <w:top w:val="nil"/>
              <w:left w:val="nil"/>
              <w:bottom w:val="single" w:sz="4" w:space="0" w:color="auto"/>
              <w:right w:val="single" w:sz="4" w:space="0" w:color="auto"/>
            </w:tcBorders>
            <w:shd w:val="clear" w:color="auto" w:fill="auto"/>
            <w:noWrap/>
            <w:vAlign w:val="bottom"/>
          </w:tcPr>
          <w:p w14:paraId="482D497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C686FD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9.682,84</w:t>
            </w:r>
          </w:p>
        </w:tc>
        <w:tc>
          <w:tcPr>
            <w:tcW w:w="1984" w:type="dxa"/>
            <w:tcBorders>
              <w:top w:val="nil"/>
              <w:left w:val="nil"/>
              <w:bottom w:val="single" w:sz="4" w:space="0" w:color="auto"/>
              <w:right w:val="single" w:sz="4" w:space="0" w:color="auto"/>
            </w:tcBorders>
            <w:shd w:val="clear" w:color="auto" w:fill="auto"/>
            <w:noWrap/>
            <w:vAlign w:val="bottom"/>
          </w:tcPr>
          <w:p w14:paraId="1D96D11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123.815,76</w:t>
            </w:r>
          </w:p>
        </w:tc>
        <w:tc>
          <w:tcPr>
            <w:tcW w:w="1016" w:type="dxa"/>
            <w:gridSpan w:val="2"/>
            <w:tcBorders>
              <w:top w:val="nil"/>
              <w:left w:val="nil"/>
              <w:bottom w:val="single" w:sz="4" w:space="0" w:color="auto"/>
              <w:right w:val="single" w:sz="4" w:space="0" w:color="auto"/>
            </w:tcBorders>
            <w:shd w:val="clear" w:color="auto" w:fill="auto"/>
            <w:noWrap/>
            <w:vAlign w:val="bottom"/>
          </w:tcPr>
          <w:p w14:paraId="3DE108B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331</w:t>
            </w:r>
          </w:p>
        </w:tc>
      </w:tr>
      <w:tr w:rsidR="00982FF1" w:rsidRPr="00982FF1" w14:paraId="3D062BA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14F244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30.06.2026.</w:t>
            </w:r>
          </w:p>
        </w:tc>
        <w:tc>
          <w:tcPr>
            <w:tcW w:w="1173" w:type="dxa"/>
            <w:tcBorders>
              <w:top w:val="nil"/>
              <w:left w:val="nil"/>
              <w:bottom w:val="single" w:sz="4" w:space="0" w:color="auto"/>
              <w:right w:val="single" w:sz="4" w:space="0" w:color="auto"/>
            </w:tcBorders>
            <w:shd w:val="clear" w:color="auto" w:fill="auto"/>
            <w:noWrap/>
            <w:vAlign w:val="bottom"/>
          </w:tcPr>
          <w:p w14:paraId="642F3B5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3035A8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142,47</w:t>
            </w:r>
          </w:p>
        </w:tc>
        <w:tc>
          <w:tcPr>
            <w:tcW w:w="1088" w:type="dxa"/>
            <w:tcBorders>
              <w:top w:val="nil"/>
              <w:left w:val="nil"/>
              <w:bottom w:val="single" w:sz="4" w:space="0" w:color="auto"/>
              <w:right w:val="single" w:sz="4" w:space="0" w:color="auto"/>
            </w:tcBorders>
            <w:shd w:val="clear" w:color="auto" w:fill="auto"/>
            <w:noWrap/>
            <w:vAlign w:val="bottom"/>
          </w:tcPr>
          <w:p w14:paraId="32B3FD0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DFEBA2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9.666,76</w:t>
            </w:r>
          </w:p>
        </w:tc>
        <w:tc>
          <w:tcPr>
            <w:tcW w:w="1984" w:type="dxa"/>
            <w:tcBorders>
              <w:top w:val="nil"/>
              <w:left w:val="nil"/>
              <w:bottom w:val="single" w:sz="4" w:space="0" w:color="auto"/>
              <w:right w:val="single" w:sz="4" w:space="0" w:color="auto"/>
            </w:tcBorders>
            <w:shd w:val="clear" w:color="auto" w:fill="auto"/>
            <w:noWrap/>
            <w:vAlign w:val="bottom"/>
          </w:tcPr>
          <w:p w14:paraId="70394FD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114.291,47</w:t>
            </w:r>
          </w:p>
        </w:tc>
        <w:tc>
          <w:tcPr>
            <w:tcW w:w="1016" w:type="dxa"/>
            <w:gridSpan w:val="2"/>
            <w:tcBorders>
              <w:top w:val="nil"/>
              <w:left w:val="nil"/>
              <w:bottom w:val="single" w:sz="4" w:space="0" w:color="auto"/>
              <w:right w:val="single" w:sz="4" w:space="0" w:color="auto"/>
            </w:tcBorders>
            <w:shd w:val="clear" w:color="auto" w:fill="auto"/>
            <w:noWrap/>
            <w:vAlign w:val="bottom"/>
          </w:tcPr>
          <w:p w14:paraId="61BA240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21E1F06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0C5046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31.07.2026.</w:t>
            </w:r>
          </w:p>
        </w:tc>
        <w:tc>
          <w:tcPr>
            <w:tcW w:w="1173" w:type="dxa"/>
            <w:tcBorders>
              <w:top w:val="nil"/>
              <w:left w:val="nil"/>
              <w:bottom w:val="single" w:sz="4" w:space="0" w:color="auto"/>
              <w:right w:val="single" w:sz="4" w:space="0" w:color="auto"/>
            </w:tcBorders>
            <w:shd w:val="clear" w:color="auto" w:fill="auto"/>
            <w:noWrap/>
            <w:vAlign w:val="bottom"/>
          </w:tcPr>
          <w:p w14:paraId="1146A46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5E1D099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135,90</w:t>
            </w:r>
          </w:p>
        </w:tc>
        <w:tc>
          <w:tcPr>
            <w:tcW w:w="1088" w:type="dxa"/>
            <w:tcBorders>
              <w:top w:val="nil"/>
              <w:left w:val="nil"/>
              <w:bottom w:val="single" w:sz="4" w:space="0" w:color="auto"/>
              <w:right w:val="single" w:sz="4" w:space="0" w:color="auto"/>
            </w:tcBorders>
            <w:shd w:val="clear" w:color="auto" w:fill="auto"/>
            <w:noWrap/>
            <w:vAlign w:val="bottom"/>
          </w:tcPr>
          <w:p w14:paraId="1B058BF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ED87A9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9.660,19</w:t>
            </w:r>
          </w:p>
        </w:tc>
        <w:tc>
          <w:tcPr>
            <w:tcW w:w="1984" w:type="dxa"/>
            <w:tcBorders>
              <w:top w:val="nil"/>
              <w:left w:val="nil"/>
              <w:bottom w:val="single" w:sz="4" w:space="0" w:color="auto"/>
              <w:right w:val="single" w:sz="4" w:space="0" w:color="auto"/>
            </w:tcBorders>
            <w:shd w:val="clear" w:color="auto" w:fill="auto"/>
            <w:noWrap/>
            <w:vAlign w:val="bottom"/>
          </w:tcPr>
          <w:p w14:paraId="11E3111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104.767,18</w:t>
            </w:r>
          </w:p>
        </w:tc>
        <w:tc>
          <w:tcPr>
            <w:tcW w:w="1016" w:type="dxa"/>
            <w:gridSpan w:val="2"/>
            <w:tcBorders>
              <w:top w:val="nil"/>
              <w:left w:val="nil"/>
              <w:bottom w:val="single" w:sz="4" w:space="0" w:color="auto"/>
              <w:right w:val="single" w:sz="4" w:space="0" w:color="auto"/>
            </w:tcBorders>
            <w:shd w:val="clear" w:color="auto" w:fill="auto"/>
            <w:noWrap/>
            <w:vAlign w:val="bottom"/>
          </w:tcPr>
          <w:p w14:paraId="4F12DE2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1036E160"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3D0CF5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31.08.2026.</w:t>
            </w:r>
          </w:p>
        </w:tc>
        <w:tc>
          <w:tcPr>
            <w:tcW w:w="1173" w:type="dxa"/>
            <w:tcBorders>
              <w:top w:val="nil"/>
              <w:left w:val="nil"/>
              <w:bottom w:val="single" w:sz="4" w:space="0" w:color="auto"/>
              <w:right w:val="single" w:sz="4" w:space="0" w:color="auto"/>
            </w:tcBorders>
            <w:shd w:val="clear" w:color="auto" w:fill="auto"/>
            <w:noWrap/>
            <w:vAlign w:val="bottom"/>
          </w:tcPr>
          <w:p w14:paraId="2CAF760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6250C02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124,57</w:t>
            </w:r>
          </w:p>
        </w:tc>
        <w:tc>
          <w:tcPr>
            <w:tcW w:w="1088" w:type="dxa"/>
            <w:tcBorders>
              <w:top w:val="nil"/>
              <w:left w:val="nil"/>
              <w:bottom w:val="single" w:sz="4" w:space="0" w:color="auto"/>
              <w:right w:val="single" w:sz="4" w:space="0" w:color="auto"/>
            </w:tcBorders>
            <w:shd w:val="clear" w:color="auto" w:fill="auto"/>
            <w:noWrap/>
            <w:vAlign w:val="bottom"/>
          </w:tcPr>
          <w:p w14:paraId="4EE802B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5BDE87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9.648,86</w:t>
            </w:r>
          </w:p>
        </w:tc>
        <w:tc>
          <w:tcPr>
            <w:tcW w:w="1984" w:type="dxa"/>
            <w:tcBorders>
              <w:top w:val="nil"/>
              <w:left w:val="nil"/>
              <w:bottom w:val="single" w:sz="4" w:space="0" w:color="auto"/>
              <w:right w:val="single" w:sz="4" w:space="0" w:color="auto"/>
            </w:tcBorders>
            <w:shd w:val="clear" w:color="auto" w:fill="auto"/>
            <w:noWrap/>
            <w:vAlign w:val="bottom"/>
          </w:tcPr>
          <w:p w14:paraId="518B4AC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95.242,89</w:t>
            </w:r>
          </w:p>
        </w:tc>
        <w:tc>
          <w:tcPr>
            <w:tcW w:w="1016" w:type="dxa"/>
            <w:gridSpan w:val="2"/>
            <w:tcBorders>
              <w:top w:val="nil"/>
              <w:left w:val="nil"/>
              <w:bottom w:val="single" w:sz="4" w:space="0" w:color="auto"/>
              <w:right w:val="single" w:sz="4" w:space="0" w:color="auto"/>
            </w:tcBorders>
            <w:shd w:val="clear" w:color="auto" w:fill="auto"/>
            <w:noWrap/>
            <w:vAlign w:val="bottom"/>
          </w:tcPr>
          <w:p w14:paraId="67C1C88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37BA068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2470DCC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30.09.2026.</w:t>
            </w:r>
          </w:p>
        </w:tc>
        <w:tc>
          <w:tcPr>
            <w:tcW w:w="1173" w:type="dxa"/>
            <w:tcBorders>
              <w:top w:val="nil"/>
              <w:left w:val="nil"/>
              <w:bottom w:val="single" w:sz="4" w:space="0" w:color="auto"/>
              <w:right w:val="single" w:sz="4" w:space="0" w:color="auto"/>
            </w:tcBorders>
            <w:shd w:val="clear" w:color="auto" w:fill="auto"/>
            <w:noWrap/>
            <w:vAlign w:val="bottom"/>
          </w:tcPr>
          <w:p w14:paraId="18D3251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7420EC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109,59</w:t>
            </w:r>
          </w:p>
        </w:tc>
        <w:tc>
          <w:tcPr>
            <w:tcW w:w="1088" w:type="dxa"/>
            <w:tcBorders>
              <w:top w:val="nil"/>
              <w:left w:val="nil"/>
              <w:bottom w:val="single" w:sz="4" w:space="0" w:color="auto"/>
              <w:right w:val="single" w:sz="4" w:space="0" w:color="auto"/>
            </w:tcBorders>
            <w:shd w:val="clear" w:color="auto" w:fill="auto"/>
            <w:noWrap/>
            <w:vAlign w:val="bottom"/>
          </w:tcPr>
          <w:p w14:paraId="3C3D25E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0E411D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9.633,88</w:t>
            </w:r>
          </w:p>
        </w:tc>
        <w:tc>
          <w:tcPr>
            <w:tcW w:w="1984" w:type="dxa"/>
            <w:tcBorders>
              <w:top w:val="nil"/>
              <w:left w:val="nil"/>
              <w:bottom w:val="single" w:sz="4" w:space="0" w:color="auto"/>
              <w:right w:val="single" w:sz="4" w:space="0" w:color="auto"/>
            </w:tcBorders>
            <w:shd w:val="clear" w:color="auto" w:fill="auto"/>
            <w:noWrap/>
            <w:vAlign w:val="bottom"/>
          </w:tcPr>
          <w:p w14:paraId="188C654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85.718,60</w:t>
            </w:r>
          </w:p>
        </w:tc>
        <w:tc>
          <w:tcPr>
            <w:tcW w:w="1016" w:type="dxa"/>
            <w:gridSpan w:val="2"/>
            <w:tcBorders>
              <w:top w:val="nil"/>
              <w:left w:val="nil"/>
              <w:bottom w:val="single" w:sz="4" w:space="0" w:color="auto"/>
              <w:right w:val="single" w:sz="4" w:space="0" w:color="auto"/>
            </w:tcBorders>
            <w:shd w:val="clear" w:color="auto" w:fill="auto"/>
            <w:noWrap/>
            <w:vAlign w:val="bottom"/>
          </w:tcPr>
          <w:p w14:paraId="5D16334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20B9F57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698694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31.10.2026.</w:t>
            </w:r>
          </w:p>
        </w:tc>
        <w:tc>
          <w:tcPr>
            <w:tcW w:w="1173" w:type="dxa"/>
            <w:tcBorders>
              <w:top w:val="nil"/>
              <w:left w:val="nil"/>
              <w:bottom w:val="single" w:sz="4" w:space="0" w:color="auto"/>
              <w:right w:val="single" w:sz="4" w:space="0" w:color="auto"/>
            </w:tcBorders>
            <w:shd w:val="clear" w:color="auto" w:fill="auto"/>
            <w:noWrap/>
            <w:vAlign w:val="bottom"/>
          </w:tcPr>
          <w:p w14:paraId="500C215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C67B7F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101,92</w:t>
            </w:r>
          </w:p>
        </w:tc>
        <w:tc>
          <w:tcPr>
            <w:tcW w:w="1088" w:type="dxa"/>
            <w:tcBorders>
              <w:top w:val="nil"/>
              <w:left w:val="nil"/>
              <w:bottom w:val="single" w:sz="4" w:space="0" w:color="auto"/>
              <w:right w:val="single" w:sz="4" w:space="0" w:color="auto"/>
            </w:tcBorders>
            <w:shd w:val="clear" w:color="auto" w:fill="auto"/>
            <w:noWrap/>
            <w:vAlign w:val="bottom"/>
          </w:tcPr>
          <w:p w14:paraId="320A0CE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469E939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9.626,21</w:t>
            </w:r>
          </w:p>
        </w:tc>
        <w:tc>
          <w:tcPr>
            <w:tcW w:w="1984" w:type="dxa"/>
            <w:tcBorders>
              <w:top w:val="nil"/>
              <w:left w:val="nil"/>
              <w:bottom w:val="single" w:sz="4" w:space="0" w:color="auto"/>
              <w:right w:val="single" w:sz="4" w:space="0" w:color="auto"/>
            </w:tcBorders>
            <w:shd w:val="clear" w:color="auto" w:fill="auto"/>
            <w:noWrap/>
            <w:vAlign w:val="bottom"/>
          </w:tcPr>
          <w:p w14:paraId="4C90401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76.194,31</w:t>
            </w:r>
          </w:p>
        </w:tc>
        <w:tc>
          <w:tcPr>
            <w:tcW w:w="1016" w:type="dxa"/>
            <w:gridSpan w:val="2"/>
            <w:tcBorders>
              <w:top w:val="nil"/>
              <w:left w:val="nil"/>
              <w:bottom w:val="single" w:sz="4" w:space="0" w:color="auto"/>
              <w:right w:val="single" w:sz="4" w:space="0" w:color="auto"/>
            </w:tcBorders>
            <w:shd w:val="clear" w:color="auto" w:fill="auto"/>
            <w:noWrap/>
            <w:vAlign w:val="bottom"/>
          </w:tcPr>
          <w:p w14:paraId="54F6F24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3E56E09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90AEEB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30.11.2026.</w:t>
            </w:r>
          </w:p>
        </w:tc>
        <w:tc>
          <w:tcPr>
            <w:tcW w:w="1173" w:type="dxa"/>
            <w:tcBorders>
              <w:top w:val="nil"/>
              <w:left w:val="nil"/>
              <w:bottom w:val="single" w:sz="4" w:space="0" w:color="auto"/>
              <w:right w:val="single" w:sz="4" w:space="0" w:color="auto"/>
            </w:tcBorders>
            <w:shd w:val="clear" w:color="auto" w:fill="auto"/>
            <w:noWrap/>
            <w:vAlign w:val="bottom"/>
          </w:tcPr>
          <w:p w14:paraId="5374881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3895E19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87,68</w:t>
            </w:r>
          </w:p>
        </w:tc>
        <w:tc>
          <w:tcPr>
            <w:tcW w:w="1088" w:type="dxa"/>
            <w:tcBorders>
              <w:top w:val="nil"/>
              <w:left w:val="nil"/>
              <w:bottom w:val="single" w:sz="4" w:space="0" w:color="auto"/>
              <w:right w:val="single" w:sz="4" w:space="0" w:color="auto"/>
            </w:tcBorders>
            <w:shd w:val="clear" w:color="auto" w:fill="auto"/>
            <w:noWrap/>
            <w:vAlign w:val="bottom"/>
          </w:tcPr>
          <w:p w14:paraId="68FCA576"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F649BE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9.611,97</w:t>
            </w:r>
          </w:p>
        </w:tc>
        <w:tc>
          <w:tcPr>
            <w:tcW w:w="1984" w:type="dxa"/>
            <w:tcBorders>
              <w:top w:val="nil"/>
              <w:left w:val="nil"/>
              <w:bottom w:val="single" w:sz="4" w:space="0" w:color="auto"/>
              <w:right w:val="single" w:sz="4" w:space="0" w:color="auto"/>
            </w:tcBorders>
            <w:shd w:val="clear" w:color="auto" w:fill="auto"/>
            <w:noWrap/>
            <w:vAlign w:val="bottom"/>
          </w:tcPr>
          <w:p w14:paraId="11BCAB75"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66.670,02</w:t>
            </w:r>
          </w:p>
        </w:tc>
        <w:tc>
          <w:tcPr>
            <w:tcW w:w="1016" w:type="dxa"/>
            <w:gridSpan w:val="2"/>
            <w:tcBorders>
              <w:top w:val="nil"/>
              <w:left w:val="nil"/>
              <w:bottom w:val="single" w:sz="4" w:space="0" w:color="auto"/>
              <w:right w:val="single" w:sz="4" w:space="0" w:color="auto"/>
            </w:tcBorders>
            <w:shd w:val="clear" w:color="auto" w:fill="auto"/>
            <w:noWrap/>
            <w:vAlign w:val="bottom"/>
          </w:tcPr>
          <w:p w14:paraId="0E0A5B2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0593398F"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31EB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31.12.2026.</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7AEEBAE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3385415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79,27</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1A29094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3553AF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9.603,56</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67C2DCB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57.145,73</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399AE01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21C71C1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3D1B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31.01.2027.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1F60CD6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5FB5526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67,95</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4A27B6D3"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09DA25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9.592,24</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6A695D0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47.621,44</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6722168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35A72795"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DC9D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28.02.2027.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50861AD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43C1B2F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51,14</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78FB219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5448DB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9.575,43</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41FDD36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38.097,15</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41A36D5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28</w:t>
            </w:r>
          </w:p>
        </w:tc>
      </w:tr>
      <w:tr w:rsidR="00982FF1" w:rsidRPr="00982FF1" w14:paraId="1333725D"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64BB4"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31.03.2027.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4EB32AA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4A7848F2"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45,30</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0393448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3B9D0D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9.569,59</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4A8E302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28.572,86</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4BDA5D2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29D552C1"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7162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30.04.2027.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05DAA5A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3010A678"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32,88</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09CF1E0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9C0344E"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9.557,17</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DA389E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19.048,57</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55EE162B"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r w:rsidR="00982FF1" w:rsidRPr="00982FF1" w14:paraId="1C95197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4758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31.05.2027.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2CACA2F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75F4B41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22,65</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47AEF3A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DC6718A"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9.546,94</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60FE781F"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9.524,28</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1D5337E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31</w:t>
            </w:r>
          </w:p>
        </w:tc>
      </w:tr>
      <w:tr w:rsidR="00982FF1" w:rsidRPr="00982FF1" w14:paraId="4B15E49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F0E67"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30.06.2027.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39D837E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36E61C8C"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10,96</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34E1E91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9B82D70"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9.535,24</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9B3F4DD"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0,00</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57C56739" w14:textId="77777777" w:rsidR="00982FF1" w:rsidRPr="00982FF1" w:rsidRDefault="00982FF1" w:rsidP="00982FF1">
            <w:pPr>
              <w:spacing w:after="0" w:line="240" w:lineRule="auto"/>
              <w:jc w:val="center"/>
              <w:rPr>
                <w:rFonts w:ascii="Times New Roman" w:hAnsi="Times New Roman"/>
                <w:color w:val="000000"/>
                <w:sz w:val="16"/>
                <w:szCs w:val="16"/>
              </w:rPr>
            </w:pPr>
            <w:r w:rsidRPr="00982FF1">
              <w:rPr>
                <w:rFonts w:ascii="Times New Roman" w:hAnsi="Times New Roman"/>
                <w:color w:val="000000"/>
                <w:sz w:val="16"/>
                <w:szCs w:val="16"/>
              </w:rPr>
              <w:t>30</w:t>
            </w:r>
          </w:p>
        </w:tc>
      </w:tr>
    </w:tbl>
    <w:p w14:paraId="77A336F4" w14:textId="77777777" w:rsidR="00982FF1" w:rsidRDefault="00982FF1" w:rsidP="00982FF1">
      <w:pPr>
        <w:spacing w:line="240" w:lineRule="auto"/>
        <w:jc w:val="both"/>
        <w:rPr>
          <w:rFonts w:ascii="Times New Roman" w:hAnsi="Times New Roman"/>
          <w:b/>
          <w:bCs/>
        </w:rPr>
      </w:pPr>
    </w:p>
    <w:p w14:paraId="6B597F35" w14:textId="77777777" w:rsidR="00982FF1" w:rsidRDefault="00982FF1" w:rsidP="00982FF1">
      <w:pPr>
        <w:spacing w:line="240" w:lineRule="auto"/>
        <w:jc w:val="both"/>
        <w:rPr>
          <w:rFonts w:ascii="Times New Roman" w:hAnsi="Times New Roman"/>
          <w:b/>
          <w:bCs/>
        </w:rPr>
      </w:pPr>
    </w:p>
    <w:p w14:paraId="262690B1" w14:textId="77777777" w:rsidR="00982FF1" w:rsidRDefault="00982FF1" w:rsidP="00982FF1">
      <w:pPr>
        <w:spacing w:line="240" w:lineRule="auto"/>
        <w:jc w:val="both"/>
        <w:rPr>
          <w:rFonts w:ascii="Times New Roman" w:hAnsi="Times New Roman"/>
          <w:b/>
          <w:bCs/>
        </w:rPr>
      </w:pPr>
    </w:p>
    <w:p w14:paraId="27D644B3" w14:textId="77777777" w:rsidR="00982FF1" w:rsidRDefault="00982FF1" w:rsidP="00982FF1">
      <w:pPr>
        <w:spacing w:line="240" w:lineRule="auto"/>
        <w:jc w:val="both"/>
        <w:rPr>
          <w:rFonts w:ascii="Times New Roman" w:hAnsi="Times New Roman"/>
          <w:b/>
          <w:bCs/>
        </w:rPr>
      </w:pPr>
    </w:p>
    <w:p w14:paraId="0C5BBB2E" w14:textId="77777777" w:rsidR="00982FF1" w:rsidRDefault="00982FF1" w:rsidP="00982FF1">
      <w:pPr>
        <w:spacing w:line="240" w:lineRule="auto"/>
        <w:jc w:val="both"/>
        <w:rPr>
          <w:rFonts w:ascii="Times New Roman" w:hAnsi="Times New Roman"/>
          <w:b/>
          <w:bCs/>
        </w:rPr>
      </w:pPr>
    </w:p>
    <w:p w14:paraId="4F4F4626" w14:textId="77777777" w:rsidR="00982FF1" w:rsidRDefault="00982FF1" w:rsidP="00982FF1">
      <w:pPr>
        <w:spacing w:line="240" w:lineRule="auto"/>
        <w:jc w:val="both"/>
        <w:rPr>
          <w:rFonts w:ascii="Times New Roman" w:hAnsi="Times New Roman"/>
          <w:b/>
          <w:bCs/>
        </w:rPr>
      </w:pPr>
    </w:p>
    <w:p w14:paraId="36422E32" w14:textId="77777777" w:rsidR="00982FF1" w:rsidRDefault="00982FF1" w:rsidP="00982FF1">
      <w:pPr>
        <w:spacing w:line="240" w:lineRule="auto"/>
        <w:jc w:val="both"/>
        <w:rPr>
          <w:rFonts w:ascii="Times New Roman" w:hAnsi="Times New Roman"/>
          <w:b/>
          <w:bCs/>
        </w:rPr>
      </w:pPr>
    </w:p>
    <w:p w14:paraId="3A371E88" w14:textId="77777777" w:rsidR="00982FF1" w:rsidRDefault="00982FF1" w:rsidP="00982FF1">
      <w:pPr>
        <w:spacing w:line="240" w:lineRule="auto"/>
        <w:jc w:val="both"/>
        <w:rPr>
          <w:rFonts w:ascii="Times New Roman" w:hAnsi="Times New Roman"/>
          <w:b/>
          <w:bCs/>
        </w:rPr>
      </w:pPr>
    </w:p>
    <w:p w14:paraId="2EE6CD95" w14:textId="77777777" w:rsidR="00982FF1" w:rsidRDefault="00982FF1" w:rsidP="00982FF1">
      <w:pPr>
        <w:spacing w:line="240" w:lineRule="auto"/>
        <w:jc w:val="both"/>
        <w:rPr>
          <w:rFonts w:ascii="Times New Roman" w:hAnsi="Times New Roman"/>
          <w:b/>
          <w:bCs/>
        </w:rPr>
      </w:pPr>
    </w:p>
    <w:p w14:paraId="5B8D85E2" w14:textId="77777777" w:rsidR="00982FF1" w:rsidRDefault="00982FF1" w:rsidP="00982FF1">
      <w:pPr>
        <w:spacing w:line="240" w:lineRule="auto"/>
        <w:jc w:val="both"/>
        <w:rPr>
          <w:rFonts w:ascii="Times New Roman" w:hAnsi="Times New Roman"/>
          <w:b/>
          <w:bCs/>
        </w:rPr>
      </w:pPr>
    </w:p>
    <w:p w14:paraId="0708A488" w14:textId="77777777" w:rsidR="00982FF1" w:rsidRDefault="00982FF1" w:rsidP="00982FF1">
      <w:pPr>
        <w:spacing w:line="240" w:lineRule="auto"/>
        <w:jc w:val="both"/>
        <w:rPr>
          <w:rFonts w:ascii="Times New Roman" w:hAnsi="Times New Roman"/>
          <w:b/>
          <w:bCs/>
        </w:rPr>
      </w:pPr>
    </w:p>
    <w:p w14:paraId="21557FCB" w14:textId="77777777" w:rsidR="00982FF1" w:rsidRDefault="00982FF1" w:rsidP="00982FF1">
      <w:pPr>
        <w:spacing w:line="240" w:lineRule="auto"/>
        <w:jc w:val="both"/>
        <w:rPr>
          <w:rFonts w:ascii="Times New Roman" w:hAnsi="Times New Roman"/>
          <w:b/>
          <w:bCs/>
        </w:rPr>
      </w:pPr>
    </w:p>
    <w:p w14:paraId="6FF7AB71" w14:textId="77777777" w:rsidR="00982FF1" w:rsidRDefault="00982FF1" w:rsidP="00982FF1">
      <w:pPr>
        <w:spacing w:line="240" w:lineRule="auto"/>
        <w:jc w:val="both"/>
        <w:rPr>
          <w:rFonts w:ascii="Times New Roman" w:hAnsi="Times New Roman"/>
          <w:b/>
          <w:bCs/>
        </w:rPr>
      </w:pPr>
    </w:p>
    <w:p w14:paraId="78D2A6B1" w14:textId="5234FD98" w:rsidR="00982FF1" w:rsidRPr="00982FF1"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r>
        <w:rPr>
          <w:rFonts w:ascii="Times New Roman" w:eastAsiaTheme="minorHAnsi" w:hAnsi="Times New Roman" w:cstheme="minorBidi"/>
          <w:b/>
          <w:iCs/>
          <w:lang w:eastAsia="en-US"/>
          <w14:ligatures w14:val="standardContextual"/>
        </w:rPr>
        <w:lastRenderedPageBreak/>
        <w:t xml:space="preserve">3.3. </w:t>
      </w:r>
      <w:r w:rsidRPr="00982FF1">
        <w:rPr>
          <w:rFonts w:ascii="Times New Roman" w:eastAsiaTheme="minorHAnsi" w:hAnsi="Times New Roman" w:cstheme="minorBidi"/>
          <w:b/>
          <w:iCs/>
          <w:lang w:eastAsia="en-US"/>
          <w14:ligatures w14:val="standardContextual"/>
        </w:rPr>
        <w:t>IZVJEŠTAJ O DANIM JAMSTVIMA I PLAĆANJIMA PO PROTESTIRANIM JAMSTVIMA</w:t>
      </w:r>
    </w:p>
    <w:p w14:paraId="4451C79E" w14:textId="77777777" w:rsidR="00982FF1" w:rsidRPr="00982FF1" w:rsidRDefault="00982FF1" w:rsidP="00982FF1">
      <w:pPr>
        <w:spacing w:after="160" w:line="259" w:lineRule="auto"/>
        <w:rPr>
          <w:rFonts w:ascii="Times New Roman" w:eastAsiaTheme="minorHAnsi" w:hAnsi="Times New Roman"/>
          <w:b/>
          <w:bCs/>
          <w:lang w:eastAsia="en-US"/>
          <w14:ligatures w14:val="standardContextual"/>
        </w:rPr>
      </w:pPr>
    </w:p>
    <w:p w14:paraId="1063C0DB" w14:textId="77777777" w:rsidR="00982FF1" w:rsidRPr="00982FF1" w:rsidRDefault="00982FF1" w:rsidP="00982FF1">
      <w:pPr>
        <w:spacing w:after="0" w:line="240" w:lineRule="auto"/>
        <w:jc w:val="both"/>
        <w:rPr>
          <w:rFonts w:ascii="Times New Roman" w:hAnsi="Times New Roman"/>
        </w:rPr>
      </w:pPr>
      <w:r w:rsidRPr="00982FF1">
        <w:rPr>
          <w:rFonts w:ascii="Times New Roman" w:hAnsi="Times New Roman"/>
        </w:rPr>
        <w:t xml:space="preserve">Sukladno članku 129. Zakonu o proračunu („Narodne novine“, broj 144/21) jedinica lokalne i područne (regionalne) samouprave može dati jamstvo za dugoročno zaduženje proračunskom i izvanproračunskom korisniku jedinice lokalne i područne (regionalne) samouprave, pravnoj osobi u većinskom vlasništvu ili suvlasništvu jedinica lokalne i područne regionalne) samouprave i ustanovi čiji je osnivač, uz prethodno dobivenu suglasnost ministra financija. </w:t>
      </w:r>
    </w:p>
    <w:p w14:paraId="5DEA5DD6" w14:textId="77777777" w:rsidR="00982FF1" w:rsidRPr="00982FF1" w:rsidRDefault="00982FF1" w:rsidP="00982FF1">
      <w:pPr>
        <w:spacing w:after="0" w:line="240" w:lineRule="auto"/>
        <w:jc w:val="both"/>
        <w:rPr>
          <w:rFonts w:ascii="Times New Roman" w:hAnsi="Times New Roman"/>
        </w:rPr>
      </w:pPr>
    </w:p>
    <w:p w14:paraId="031EB123" w14:textId="77777777" w:rsidR="00982FF1" w:rsidRPr="00982FF1" w:rsidRDefault="00982FF1" w:rsidP="00982FF1">
      <w:pPr>
        <w:spacing w:after="0" w:line="240" w:lineRule="auto"/>
        <w:jc w:val="both"/>
        <w:rPr>
          <w:rFonts w:ascii="Times New Roman" w:hAnsi="Times New Roman"/>
        </w:rPr>
      </w:pPr>
      <w:r w:rsidRPr="00982FF1">
        <w:rPr>
          <w:rFonts w:ascii="Times New Roman" w:hAnsi="Times New Roman"/>
        </w:rPr>
        <w:t xml:space="preserve">Jedinica lokalne i područne (regionalne) samouprave dužna je izvijestiti Ministarstvo financija o sklopljenom ugovoru o jamstvu u roku od 8 dana od dana sklapanja. Jedinica lokalne i područne (regionalne) samouprave dužna je izvještavati Ministarstvo financija unutar proračunske godine, tromjesečno, do 10.-og u mjesecu za prethodno izvještajno razdoblje o stanju aktivnih jamstva za koje je prethodno dana suglasnost. </w:t>
      </w:r>
    </w:p>
    <w:p w14:paraId="4B7E4FC0" w14:textId="77777777" w:rsidR="00982FF1" w:rsidRPr="00982FF1" w:rsidRDefault="00982FF1" w:rsidP="00982FF1">
      <w:pPr>
        <w:spacing w:after="0" w:line="240" w:lineRule="auto"/>
        <w:jc w:val="both"/>
        <w:rPr>
          <w:rFonts w:ascii="Times New Roman" w:hAnsi="Times New Roman"/>
        </w:rPr>
      </w:pPr>
    </w:p>
    <w:p w14:paraId="47C64FE5" w14:textId="77777777" w:rsidR="00982FF1" w:rsidRPr="00982FF1" w:rsidRDefault="00982FF1" w:rsidP="00982FF1">
      <w:pPr>
        <w:spacing w:after="0" w:line="240" w:lineRule="auto"/>
        <w:jc w:val="both"/>
        <w:rPr>
          <w:rFonts w:ascii="Times New Roman" w:hAnsi="Times New Roman"/>
          <w:szCs w:val="20"/>
        </w:rPr>
      </w:pPr>
      <w:r w:rsidRPr="00982FF1">
        <w:rPr>
          <w:rFonts w:ascii="Times New Roman" w:hAnsi="Times New Roman"/>
          <w:szCs w:val="20"/>
        </w:rPr>
        <w:t>U razdoblju od 1.1.2023. - 31.12. 2023. godine Općina Cerna nije davala jamstva sukladno članku 129. Zakona o proračunu („Narodne novine“, broj 144/21).</w:t>
      </w:r>
    </w:p>
    <w:p w14:paraId="1DF3D830" w14:textId="58B775A4" w:rsidR="00982FF1" w:rsidRPr="00982FF1" w:rsidRDefault="00982FF1" w:rsidP="00982FF1">
      <w:pPr>
        <w:spacing w:after="160" w:line="259" w:lineRule="auto"/>
        <w:rPr>
          <w:rFonts w:ascii="Times New Roman" w:eastAsiaTheme="minorHAnsi" w:hAnsi="Times New Roman"/>
          <w:b/>
          <w:bCs/>
          <w:lang w:eastAsia="en-US"/>
          <w14:ligatures w14:val="standardContextual"/>
        </w:rPr>
      </w:pPr>
    </w:p>
    <w:p w14:paraId="07E11740" w14:textId="027BBD3E" w:rsidR="00982FF1" w:rsidRPr="00982FF1"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r>
        <w:rPr>
          <w:rFonts w:ascii="Times New Roman" w:eastAsiaTheme="minorHAnsi" w:hAnsi="Times New Roman" w:cstheme="minorBidi"/>
          <w:b/>
          <w:iCs/>
          <w:lang w:eastAsia="en-US"/>
          <w14:ligatures w14:val="standardContextual"/>
        </w:rPr>
        <w:t xml:space="preserve">3.4. </w:t>
      </w:r>
      <w:r w:rsidRPr="00982FF1">
        <w:rPr>
          <w:rFonts w:ascii="Times New Roman" w:eastAsiaTheme="minorHAnsi" w:hAnsi="Times New Roman" w:cstheme="minorBidi"/>
          <w:b/>
          <w:iCs/>
          <w:lang w:eastAsia="en-US"/>
          <w14:ligatures w14:val="standardContextual"/>
        </w:rPr>
        <w:t>IZVJEŠTAJ O KORIŠTENJU SREDSTAVA FONDOVA EUROPSKE UNIJE</w:t>
      </w:r>
    </w:p>
    <w:p w14:paraId="6145ADAB" w14:textId="77777777" w:rsidR="00982FF1" w:rsidRPr="00982FF1"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p>
    <w:p w14:paraId="49245489" w14:textId="77777777" w:rsidR="00982FF1" w:rsidRPr="00982FF1"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p w14:paraId="11CBD654" w14:textId="4AA11A11" w:rsidR="00982FF1" w:rsidRPr="00982FF1" w:rsidRDefault="00982FF1" w:rsidP="00A5354C">
      <w:pPr>
        <w:suppressAutoHyphens/>
        <w:autoSpaceDN w:val="0"/>
        <w:spacing w:after="0" w:line="240" w:lineRule="auto"/>
        <w:jc w:val="both"/>
        <w:textAlignment w:val="baseline"/>
        <w:rPr>
          <w:rFonts w:ascii="Times New Roman" w:hAnsi="Times New Roman"/>
        </w:rPr>
      </w:pPr>
      <w:r w:rsidRPr="00982FF1">
        <w:rPr>
          <w:rFonts w:ascii="Times New Roman" w:hAnsi="Times New Roman"/>
          <w:bCs/>
        </w:rPr>
        <w:t xml:space="preserve">Općina Cerna u 2023. godini dobila je ostatak sredstava u iznosu od 97.506,60 € iz Europskog socijalnog fonda </w:t>
      </w:r>
      <w:r w:rsidRPr="00982FF1">
        <w:rPr>
          <w:rFonts w:ascii="Times New Roman" w:hAnsi="Times New Roman"/>
        </w:rPr>
        <w:t xml:space="preserve">iz </w:t>
      </w:r>
      <w:r w:rsidRPr="00982FF1">
        <w:rPr>
          <w:rFonts w:ascii="Times New Roman" w:hAnsi="Times New Roman"/>
          <w:bCs/>
        </w:rPr>
        <w:t>Operativnog programa Učinkovitih ljudskih potencijala za razdoblje 2014.-2020. za financiranje programa Zaželi – Program zapošljavanja žena - faza III</w:t>
      </w:r>
      <w:r>
        <w:rPr>
          <w:rFonts w:ascii="Times New Roman" w:hAnsi="Times New Roman"/>
          <w:bCs/>
        </w:rPr>
        <w:t>. Također, iz Nacionalnog plana oporavka i otpornosti, za izgradnju dječjeg vrtića u Cerni</w:t>
      </w:r>
      <w:r w:rsidR="00A5354C">
        <w:rPr>
          <w:rFonts w:ascii="Times New Roman" w:hAnsi="Times New Roman"/>
          <w:bCs/>
        </w:rPr>
        <w:t>, odobreno je 764.483,38 €.</w:t>
      </w:r>
    </w:p>
    <w:p w14:paraId="53E9FDBA" w14:textId="77777777" w:rsidR="00982FF1" w:rsidRPr="00982FF1"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p w14:paraId="52B79EA9" w14:textId="77777777" w:rsidR="00982FF1" w:rsidRPr="00982FF1"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tbl>
      <w:tblPr>
        <w:tblStyle w:val="Reetkatablice"/>
        <w:tblW w:w="10490" w:type="dxa"/>
        <w:tblInd w:w="-572" w:type="dxa"/>
        <w:tblLook w:val="04A0" w:firstRow="1" w:lastRow="0" w:firstColumn="1" w:lastColumn="0" w:noHBand="0" w:noVBand="1"/>
      </w:tblPr>
      <w:tblGrid>
        <w:gridCol w:w="644"/>
        <w:gridCol w:w="2013"/>
        <w:gridCol w:w="1359"/>
        <w:gridCol w:w="1269"/>
        <w:gridCol w:w="1287"/>
        <w:gridCol w:w="1239"/>
        <w:gridCol w:w="1414"/>
        <w:gridCol w:w="1265"/>
      </w:tblGrid>
      <w:tr w:rsidR="00982FF1" w:rsidRPr="00982FF1" w14:paraId="4AFC0460" w14:textId="77777777" w:rsidTr="00127F02">
        <w:trPr>
          <w:trHeight w:val="1256"/>
        </w:trPr>
        <w:tc>
          <w:tcPr>
            <w:tcW w:w="605" w:type="dxa"/>
          </w:tcPr>
          <w:p w14:paraId="694EAE48"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r.br.</w:t>
            </w:r>
          </w:p>
        </w:tc>
        <w:tc>
          <w:tcPr>
            <w:tcW w:w="1849" w:type="dxa"/>
          </w:tcPr>
          <w:p w14:paraId="0A80E7C9"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Naziv projekta</w:t>
            </w:r>
          </w:p>
        </w:tc>
        <w:tc>
          <w:tcPr>
            <w:tcW w:w="1419" w:type="dxa"/>
          </w:tcPr>
          <w:p w14:paraId="0E48C584"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Naziv fonda</w:t>
            </w:r>
          </w:p>
        </w:tc>
        <w:tc>
          <w:tcPr>
            <w:tcW w:w="1395" w:type="dxa"/>
          </w:tcPr>
          <w:p w14:paraId="18CE14F9"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Ukupno ugovorena sredstva</w:t>
            </w:r>
          </w:p>
        </w:tc>
        <w:tc>
          <w:tcPr>
            <w:tcW w:w="1447" w:type="dxa"/>
          </w:tcPr>
          <w:p w14:paraId="35075AE4"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Ukupno uplaćena sredstva</w:t>
            </w:r>
          </w:p>
          <w:p w14:paraId="7636ACC6"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2023.g</w:t>
            </w:r>
          </w:p>
        </w:tc>
        <w:tc>
          <w:tcPr>
            <w:tcW w:w="1305" w:type="dxa"/>
          </w:tcPr>
          <w:p w14:paraId="2A8F20DE"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Ukupni rashodi i izdaci 2023. g</w:t>
            </w:r>
          </w:p>
        </w:tc>
        <w:tc>
          <w:tcPr>
            <w:tcW w:w="1197" w:type="dxa"/>
          </w:tcPr>
          <w:p w14:paraId="4FEC9EB8"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Stanje potraživanja iz EU fondova na dan 31.12.2023.</w:t>
            </w:r>
          </w:p>
        </w:tc>
        <w:tc>
          <w:tcPr>
            <w:tcW w:w="1273" w:type="dxa"/>
          </w:tcPr>
          <w:p w14:paraId="4391C9EB"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Stanje obveza prema EU fondova na dan 31.12.2023.</w:t>
            </w:r>
          </w:p>
        </w:tc>
      </w:tr>
      <w:tr w:rsidR="00982FF1" w:rsidRPr="00982FF1" w14:paraId="55ABA9B5" w14:textId="77777777" w:rsidTr="00127F02">
        <w:trPr>
          <w:trHeight w:val="1788"/>
        </w:trPr>
        <w:tc>
          <w:tcPr>
            <w:tcW w:w="605" w:type="dxa"/>
          </w:tcPr>
          <w:p w14:paraId="4140C612"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b/>
                <w:iCs/>
                <w:lang w:eastAsia="en-US"/>
                <w14:ligatures w14:val="standardContextual"/>
              </w:rPr>
              <w:t>1.</w:t>
            </w:r>
          </w:p>
        </w:tc>
        <w:tc>
          <w:tcPr>
            <w:tcW w:w="1849" w:type="dxa"/>
          </w:tcPr>
          <w:p w14:paraId="6CFB694B" w14:textId="77777777" w:rsidR="00982FF1" w:rsidRPr="00982FF1"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82FF1">
              <w:rPr>
                <w:rFonts w:ascii="Times New Roman" w:eastAsiaTheme="minorHAnsi" w:hAnsi="Times New Roman"/>
                <w:lang w:eastAsia="en-US"/>
                <w14:ligatures w14:val="standardContextual"/>
              </w:rPr>
              <w:t>ZAŽELI – PROGRAM ZAPOŠLJAVANJA ŽENA - FAZA III</w:t>
            </w:r>
          </w:p>
        </w:tc>
        <w:tc>
          <w:tcPr>
            <w:tcW w:w="1419" w:type="dxa"/>
          </w:tcPr>
          <w:p w14:paraId="04034A67"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EUROPSKI SOCIJALNI FOND</w:t>
            </w:r>
          </w:p>
        </w:tc>
        <w:tc>
          <w:tcPr>
            <w:tcW w:w="1395" w:type="dxa"/>
          </w:tcPr>
          <w:p w14:paraId="0D49F11E"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163.687,04 €</w:t>
            </w:r>
          </w:p>
        </w:tc>
        <w:tc>
          <w:tcPr>
            <w:tcW w:w="1447" w:type="dxa"/>
          </w:tcPr>
          <w:p w14:paraId="68B3B901"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97.506,60 €</w:t>
            </w:r>
          </w:p>
        </w:tc>
        <w:tc>
          <w:tcPr>
            <w:tcW w:w="1305" w:type="dxa"/>
          </w:tcPr>
          <w:p w14:paraId="51CD428A"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130.382,44 €</w:t>
            </w:r>
          </w:p>
        </w:tc>
        <w:tc>
          <w:tcPr>
            <w:tcW w:w="1197" w:type="dxa"/>
          </w:tcPr>
          <w:p w14:paraId="4A7E868B"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0,00 €</w:t>
            </w:r>
          </w:p>
        </w:tc>
        <w:tc>
          <w:tcPr>
            <w:tcW w:w="1273" w:type="dxa"/>
          </w:tcPr>
          <w:p w14:paraId="72FC573D"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0,00 €</w:t>
            </w:r>
          </w:p>
        </w:tc>
      </w:tr>
      <w:tr w:rsidR="00982FF1" w:rsidRPr="00982FF1" w14:paraId="6E573631" w14:textId="77777777" w:rsidTr="00127F02">
        <w:trPr>
          <w:trHeight w:val="538"/>
        </w:trPr>
        <w:tc>
          <w:tcPr>
            <w:tcW w:w="605" w:type="dxa"/>
          </w:tcPr>
          <w:p w14:paraId="359A69FC"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2.</w:t>
            </w:r>
          </w:p>
        </w:tc>
        <w:tc>
          <w:tcPr>
            <w:tcW w:w="1849" w:type="dxa"/>
          </w:tcPr>
          <w:p w14:paraId="7FE0AB3B"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IZGRADNJA DJEČJEG VRTIĆA S PRATEĆIM SADRŽAJIMA U CERNI</w:t>
            </w:r>
          </w:p>
        </w:tc>
        <w:tc>
          <w:tcPr>
            <w:tcW w:w="1419" w:type="dxa"/>
          </w:tcPr>
          <w:p w14:paraId="6915E999"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 xml:space="preserve">NPOO </w:t>
            </w:r>
          </w:p>
        </w:tc>
        <w:tc>
          <w:tcPr>
            <w:tcW w:w="1395" w:type="dxa"/>
          </w:tcPr>
          <w:p w14:paraId="08AF7378"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764.483,38 €</w:t>
            </w:r>
          </w:p>
        </w:tc>
        <w:tc>
          <w:tcPr>
            <w:tcW w:w="1447" w:type="dxa"/>
          </w:tcPr>
          <w:p w14:paraId="4DED70C0"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382.241,68 €</w:t>
            </w:r>
          </w:p>
        </w:tc>
        <w:tc>
          <w:tcPr>
            <w:tcW w:w="1305" w:type="dxa"/>
          </w:tcPr>
          <w:p w14:paraId="290B4B65"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99.204,32 €</w:t>
            </w:r>
          </w:p>
        </w:tc>
        <w:tc>
          <w:tcPr>
            <w:tcW w:w="1197" w:type="dxa"/>
          </w:tcPr>
          <w:p w14:paraId="31582CC5"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372.241,70 €</w:t>
            </w:r>
          </w:p>
        </w:tc>
        <w:tc>
          <w:tcPr>
            <w:tcW w:w="1273" w:type="dxa"/>
          </w:tcPr>
          <w:p w14:paraId="1EBA5B8F" w14:textId="77777777" w:rsidR="00982FF1" w:rsidRPr="00982FF1"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82FF1">
              <w:rPr>
                <w:rFonts w:ascii="Times New Roman" w:eastAsiaTheme="minorHAnsi" w:hAnsi="Times New Roman"/>
                <w:bCs/>
                <w:iCs/>
                <w:lang w:eastAsia="en-US"/>
                <w14:ligatures w14:val="standardContextual"/>
              </w:rPr>
              <w:t>0,00 €</w:t>
            </w:r>
          </w:p>
        </w:tc>
      </w:tr>
    </w:tbl>
    <w:p w14:paraId="22C6ED50" w14:textId="77777777" w:rsidR="00982FF1" w:rsidRPr="00982FF1" w:rsidRDefault="00982FF1" w:rsidP="00982FF1">
      <w:pPr>
        <w:shd w:val="clear" w:color="auto" w:fill="FFFFFF" w:themeFill="background1"/>
        <w:spacing w:after="0" w:line="240" w:lineRule="auto"/>
        <w:contextualSpacing/>
        <w:jc w:val="both"/>
        <w:rPr>
          <w:rFonts w:ascii="Times New Roman" w:hAnsi="Times New Roman"/>
          <w:b/>
          <w:iCs/>
        </w:rPr>
      </w:pPr>
    </w:p>
    <w:p w14:paraId="448AE51D" w14:textId="77777777" w:rsidR="00982FF1" w:rsidRPr="00982FF1" w:rsidRDefault="00982FF1" w:rsidP="00982FF1">
      <w:pPr>
        <w:shd w:val="clear" w:color="auto" w:fill="FFFFFF" w:themeFill="background1"/>
        <w:spacing w:after="0" w:line="240" w:lineRule="auto"/>
        <w:contextualSpacing/>
        <w:jc w:val="both"/>
        <w:rPr>
          <w:rFonts w:ascii="Times New Roman" w:hAnsi="Times New Roman"/>
          <w:b/>
          <w:iCs/>
        </w:rPr>
      </w:pPr>
    </w:p>
    <w:p w14:paraId="2A530247" w14:textId="77777777" w:rsidR="00A5354C" w:rsidRDefault="00A5354C" w:rsidP="00982FF1">
      <w:pPr>
        <w:shd w:val="clear" w:color="auto" w:fill="FFFFFF" w:themeFill="background1"/>
        <w:spacing w:after="0" w:line="240" w:lineRule="auto"/>
        <w:contextualSpacing/>
        <w:jc w:val="both"/>
        <w:rPr>
          <w:rFonts w:ascii="Times New Roman" w:hAnsi="Times New Roman"/>
          <w:b/>
          <w:iCs/>
        </w:rPr>
      </w:pPr>
    </w:p>
    <w:p w14:paraId="6F2D272E" w14:textId="77777777" w:rsidR="00A5354C" w:rsidRDefault="00A5354C" w:rsidP="00982FF1">
      <w:pPr>
        <w:shd w:val="clear" w:color="auto" w:fill="FFFFFF" w:themeFill="background1"/>
        <w:spacing w:after="0" w:line="240" w:lineRule="auto"/>
        <w:contextualSpacing/>
        <w:jc w:val="both"/>
        <w:rPr>
          <w:rFonts w:ascii="Times New Roman" w:hAnsi="Times New Roman"/>
          <w:b/>
          <w:iCs/>
        </w:rPr>
      </w:pPr>
    </w:p>
    <w:p w14:paraId="1A924305" w14:textId="77777777" w:rsidR="00A5354C" w:rsidRDefault="00A5354C" w:rsidP="00982FF1">
      <w:pPr>
        <w:shd w:val="clear" w:color="auto" w:fill="FFFFFF" w:themeFill="background1"/>
        <w:spacing w:after="0" w:line="240" w:lineRule="auto"/>
        <w:contextualSpacing/>
        <w:jc w:val="both"/>
        <w:rPr>
          <w:rFonts w:ascii="Times New Roman" w:hAnsi="Times New Roman"/>
          <w:b/>
          <w:iCs/>
        </w:rPr>
      </w:pPr>
    </w:p>
    <w:p w14:paraId="1F845537" w14:textId="5E5FACD5" w:rsidR="00982FF1" w:rsidRPr="00982FF1" w:rsidRDefault="00A5354C" w:rsidP="00982FF1">
      <w:pPr>
        <w:shd w:val="clear" w:color="auto" w:fill="FFFFFF" w:themeFill="background1"/>
        <w:spacing w:after="0" w:line="240" w:lineRule="auto"/>
        <w:contextualSpacing/>
        <w:jc w:val="both"/>
        <w:rPr>
          <w:rFonts w:ascii="Times New Roman" w:hAnsi="Times New Roman"/>
          <w:b/>
          <w:iCs/>
        </w:rPr>
      </w:pPr>
      <w:r>
        <w:rPr>
          <w:rFonts w:ascii="Times New Roman" w:hAnsi="Times New Roman"/>
          <w:b/>
          <w:iCs/>
        </w:rPr>
        <w:lastRenderedPageBreak/>
        <w:t xml:space="preserve">3.5. </w:t>
      </w:r>
      <w:r w:rsidR="00982FF1" w:rsidRPr="00982FF1">
        <w:rPr>
          <w:rFonts w:ascii="Times New Roman" w:hAnsi="Times New Roman"/>
          <w:b/>
          <w:iCs/>
        </w:rPr>
        <w:t>IZVJEŠTAJ O DANIM ZAJMOVIMA I POTRAŽIVANJA PO DANIM ZAJMOVIMA</w:t>
      </w:r>
    </w:p>
    <w:p w14:paraId="32C5E3FE" w14:textId="77777777" w:rsidR="00982FF1" w:rsidRPr="00982FF1" w:rsidRDefault="00982FF1" w:rsidP="00982FF1">
      <w:pPr>
        <w:shd w:val="clear" w:color="auto" w:fill="FFFFFF"/>
        <w:spacing w:after="0" w:line="240" w:lineRule="auto"/>
        <w:jc w:val="both"/>
        <w:textAlignment w:val="baseline"/>
        <w:rPr>
          <w:rFonts w:ascii="Times New Roman" w:hAnsi="Times New Roman"/>
        </w:rPr>
      </w:pPr>
    </w:p>
    <w:p w14:paraId="6CC845E9" w14:textId="77777777" w:rsidR="00982FF1" w:rsidRPr="00982FF1" w:rsidRDefault="00982FF1" w:rsidP="00982FF1">
      <w:pPr>
        <w:shd w:val="clear" w:color="auto" w:fill="FFFFFF"/>
        <w:spacing w:after="0" w:line="240" w:lineRule="auto"/>
        <w:jc w:val="both"/>
        <w:textAlignment w:val="baseline"/>
        <w:rPr>
          <w:rFonts w:ascii="Times New Roman" w:hAnsi="Times New Roman"/>
        </w:rPr>
      </w:pPr>
      <w:r w:rsidRPr="00982FF1">
        <w:rPr>
          <w:rFonts w:ascii="Times New Roman" w:hAnsi="Times New Roman"/>
        </w:rPr>
        <w:t>U razdoblju od 1.1.2023. - 31.12. 2023. godine Općina Cerna nije davala zajmove niti ima potraživanja po danim zajmovima.</w:t>
      </w:r>
    </w:p>
    <w:p w14:paraId="56A60F68" w14:textId="77777777" w:rsidR="00982FF1" w:rsidRPr="00982FF1" w:rsidRDefault="00982FF1" w:rsidP="00982FF1">
      <w:pPr>
        <w:spacing w:after="160" w:line="259" w:lineRule="auto"/>
        <w:rPr>
          <w:rFonts w:ascii="Times New Roman" w:eastAsiaTheme="minorHAnsi" w:hAnsi="Times New Roman"/>
          <w:b/>
          <w:bCs/>
          <w:lang w:eastAsia="en-US"/>
          <w14:ligatures w14:val="standardContextual"/>
        </w:rPr>
      </w:pPr>
    </w:p>
    <w:p w14:paraId="3BA9EF6F" w14:textId="202B6A94" w:rsidR="00982FF1" w:rsidRPr="00982FF1" w:rsidRDefault="00A5354C" w:rsidP="00982FF1">
      <w:pPr>
        <w:shd w:val="clear" w:color="auto" w:fill="FFFFFF" w:themeFill="background1"/>
        <w:spacing w:after="0" w:line="240" w:lineRule="auto"/>
        <w:contextualSpacing/>
        <w:rPr>
          <w:rFonts w:ascii="Times New Roman" w:hAnsi="Times New Roman"/>
          <w:b/>
          <w:iCs/>
        </w:rPr>
      </w:pPr>
      <w:r>
        <w:rPr>
          <w:rFonts w:ascii="Times New Roman" w:hAnsi="Times New Roman"/>
          <w:b/>
          <w:iCs/>
        </w:rPr>
        <w:t xml:space="preserve">3.6. </w:t>
      </w:r>
      <w:r w:rsidR="00982FF1" w:rsidRPr="00982FF1">
        <w:rPr>
          <w:rFonts w:ascii="Times New Roman" w:hAnsi="Times New Roman"/>
          <w:b/>
          <w:iCs/>
        </w:rPr>
        <w:t>IZVJEŠTAJ O STANJU POTRAŽIVANJA I DOSPIJELIH OBVEZA TE STANJU POTENCIJALNIH OBVEZA PO OSNOVI SUDSKIH SPOROVA</w:t>
      </w:r>
    </w:p>
    <w:p w14:paraId="01534953" w14:textId="77777777" w:rsidR="00982FF1" w:rsidRPr="00982FF1" w:rsidRDefault="00982FF1" w:rsidP="00982FF1">
      <w:pPr>
        <w:autoSpaceDE w:val="0"/>
        <w:autoSpaceDN w:val="0"/>
        <w:adjustRightInd w:val="0"/>
        <w:spacing w:after="0" w:line="240" w:lineRule="auto"/>
        <w:jc w:val="both"/>
        <w:rPr>
          <w:rFonts w:ascii="Times New Roman" w:eastAsia="Calibri" w:hAnsi="Times New Roman"/>
          <w:b/>
          <w:i/>
          <w:lang w:eastAsia="en-US"/>
        </w:rPr>
      </w:pPr>
    </w:p>
    <w:p w14:paraId="73309A04" w14:textId="77777777" w:rsidR="00982FF1" w:rsidRPr="00982FF1" w:rsidRDefault="00982FF1" w:rsidP="00982FF1">
      <w:pPr>
        <w:autoSpaceDE w:val="0"/>
        <w:autoSpaceDN w:val="0"/>
        <w:adjustRightInd w:val="0"/>
        <w:spacing w:after="0" w:line="240" w:lineRule="auto"/>
        <w:jc w:val="both"/>
        <w:rPr>
          <w:rFonts w:ascii="Times New Roman" w:eastAsia="Calibri" w:hAnsi="Times New Roman"/>
          <w:b/>
          <w:i/>
          <w:lang w:eastAsia="en-US"/>
        </w:rPr>
      </w:pPr>
      <w:r w:rsidRPr="00982FF1">
        <w:rPr>
          <w:rFonts w:ascii="Times New Roman" w:eastAsia="Calibri" w:hAnsi="Times New Roman"/>
          <w:b/>
          <w:i/>
          <w:lang w:eastAsia="en-US"/>
        </w:rPr>
        <w:t xml:space="preserve">Stanje obveza </w:t>
      </w:r>
    </w:p>
    <w:p w14:paraId="2A917362" w14:textId="77777777" w:rsidR="00982FF1" w:rsidRPr="00982FF1" w:rsidRDefault="00982FF1" w:rsidP="00982FF1">
      <w:pPr>
        <w:autoSpaceDE w:val="0"/>
        <w:autoSpaceDN w:val="0"/>
        <w:adjustRightInd w:val="0"/>
        <w:spacing w:after="0" w:line="240" w:lineRule="auto"/>
        <w:jc w:val="both"/>
        <w:rPr>
          <w:rFonts w:ascii="Times New Roman" w:hAnsi="Times New Roman"/>
        </w:rPr>
      </w:pPr>
      <w:r w:rsidRPr="00982FF1">
        <w:rPr>
          <w:rFonts w:ascii="Times New Roman" w:hAnsi="Times New Roman"/>
        </w:rPr>
        <w:t xml:space="preserve">Stanje obveza na kraju izvještajnog razdoblja, odnosno na dan 31.12.2023. godine iznose 526.569,89 EUR od čega dospjele obveze iznose 25.333,33 EUR, a nedospjele obveze 501.236,66 EUR. </w:t>
      </w:r>
    </w:p>
    <w:p w14:paraId="29043338" w14:textId="77777777" w:rsidR="00982FF1" w:rsidRPr="00982FF1" w:rsidRDefault="00982FF1" w:rsidP="00982FF1">
      <w:pPr>
        <w:autoSpaceDE w:val="0"/>
        <w:autoSpaceDN w:val="0"/>
        <w:adjustRightInd w:val="0"/>
        <w:spacing w:after="0" w:line="240" w:lineRule="auto"/>
        <w:jc w:val="both"/>
        <w:rPr>
          <w:rFonts w:ascii="Times New Roman" w:hAnsi="Times New Roman"/>
        </w:rPr>
      </w:pPr>
    </w:p>
    <w:p w14:paraId="212DC329" w14:textId="77777777" w:rsidR="00982FF1" w:rsidRPr="00982FF1" w:rsidRDefault="00982FF1" w:rsidP="00982FF1">
      <w:pPr>
        <w:autoSpaceDE w:val="0"/>
        <w:autoSpaceDN w:val="0"/>
        <w:adjustRightInd w:val="0"/>
        <w:spacing w:after="0" w:line="240" w:lineRule="auto"/>
        <w:jc w:val="both"/>
        <w:rPr>
          <w:rFonts w:ascii="Times New Roman" w:hAnsi="Times New Roman"/>
        </w:rPr>
      </w:pPr>
      <w:r w:rsidRPr="00982FF1">
        <w:rPr>
          <w:rFonts w:ascii="Times New Roman" w:hAnsi="Times New Roman"/>
        </w:rPr>
        <w:t xml:space="preserve">Iznos od 25.333,33 EUR odnosi se na obveze za materijalne rashode, financijske rashode, obveze za naknade građanima i kućanstvu, ostale tekuće obveze, obveze za nabavu nefinancijske imovine te obveze za tuzemne kredite i zajmove. </w:t>
      </w:r>
    </w:p>
    <w:p w14:paraId="73A4D13C" w14:textId="77777777" w:rsidR="00982FF1" w:rsidRPr="00982FF1" w:rsidRDefault="00982FF1" w:rsidP="00982FF1">
      <w:pPr>
        <w:autoSpaceDE w:val="0"/>
        <w:autoSpaceDN w:val="0"/>
        <w:adjustRightInd w:val="0"/>
        <w:spacing w:after="0" w:line="240" w:lineRule="auto"/>
        <w:jc w:val="both"/>
        <w:rPr>
          <w:rFonts w:ascii="Times New Roman" w:hAnsi="Times New Roman"/>
        </w:rPr>
      </w:pPr>
    </w:p>
    <w:p w14:paraId="14FBE6BB" w14:textId="77777777" w:rsidR="00982FF1" w:rsidRPr="00982FF1" w:rsidRDefault="00982FF1" w:rsidP="00982FF1">
      <w:pPr>
        <w:autoSpaceDE w:val="0"/>
        <w:autoSpaceDN w:val="0"/>
        <w:adjustRightInd w:val="0"/>
        <w:spacing w:after="0" w:line="240" w:lineRule="auto"/>
        <w:jc w:val="both"/>
        <w:rPr>
          <w:rFonts w:ascii="Times New Roman" w:hAnsi="Times New Roman"/>
        </w:rPr>
      </w:pPr>
      <w:r w:rsidRPr="00982FF1">
        <w:rPr>
          <w:rFonts w:ascii="Times New Roman" w:hAnsi="Times New Roman"/>
        </w:rPr>
        <w:t>Stanje nedospjelih obveza na kraju izvještajnog razdoblja iznosi 501.236,66 EUR. Od navedenog iznosa, 400.020,17 € su obveze za financijsku imovinu odnosno obveze za tuzemne kredite i zajmove, a ostatak iznose odnosi se na redovite troškove poslovanja javne uprave.</w:t>
      </w:r>
    </w:p>
    <w:p w14:paraId="1ECF5832" w14:textId="77777777" w:rsidR="00982FF1" w:rsidRPr="00982FF1" w:rsidRDefault="00982FF1" w:rsidP="00982FF1">
      <w:pPr>
        <w:autoSpaceDE w:val="0"/>
        <w:autoSpaceDN w:val="0"/>
        <w:adjustRightInd w:val="0"/>
        <w:spacing w:after="0" w:line="240" w:lineRule="auto"/>
        <w:jc w:val="both"/>
        <w:rPr>
          <w:rFonts w:ascii="Times New Roman" w:eastAsia="Calibri" w:hAnsi="Times New Roman"/>
          <w:b/>
          <w:i/>
          <w:color w:val="FF0000"/>
          <w:lang w:eastAsia="en-US"/>
        </w:rPr>
      </w:pPr>
    </w:p>
    <w:p w14:paraId="73A54D13" w14:textId="77777777" w:rsidR="00982FF1" w:rsidRPr="00982FF1" w:rsidRDefault="00982FF1" w:rsidP="00982FF1">
      <w:pPr>
        <w:autoSpaceDE w:val="0"/>
        <w:autoSpaceDN w:val="0"/>
        <w:adjustRightInd w:val="0"/>
        <w:spacing w:after="0" w:line="240" w:lineRule="auto"/>
        <w:jc w:val="both"/>
        <w:rPr>
          <w:rFonts w:ascii="Times New Roman" w:hAnsi="Times New Roman"/>
        </w:rPr>
      </w:pPr>
      <w:r w:rsidRPr="00982FF1">
        <w:rPr>
          <w:rFonts w:ascii="Times New Roman" w:hAnsi="Times New Roman"/>
          <w:iCs/>
        </w:rPr>
        <w:t>Stanj</w:t>
      </w:r>
      <w:r w:rsidRPr="00982FF1">
        <w:rPr>
          <w:rFonts w:ascii="Times New Roman" w:hAnsi="Times New Roman"/>
        </w:rPr>
        <w:t>e ukupnog potraživanja za prihode poslovanja na 31.12.2023. iznosi 133.874,83 EUR. Na datum bilance dospio je ukupan iznos prethodno navedenih potraživanja. Od dospjelih potraživanja vrijednosno najznačajnija su nenaplaćena potraživanja po komunalnom doprinosu i komunalnoj naknadi.</w:t>
      </w:r>
    </w:p>
    <w:p w14:paraId="278AB842" w14:textId="77777777" w:rsidR="00982FF1" w:rsidRPr="00982FF1" w:rsidRDefault="00982FF1" w:rsidP="00982FF1">
      <w:pPr>
        <w:spacing w:after="0" w:line="240" w:lineRule="auto"/>
        <w:rPr>
          <w:rFonts w:ascii="Times New Roman" w:hAnsi="Times New Roman"/>
          <w:b/>
          <w:iCs/>
        </w:rPr>
      </w:pPr>
    </w:p>
    <w:p w14:paraId="0FCB7440" w14:textId="77777777" w:rsidR="00982FF1" w:rsidRPr="00982FF1" w:rsidRDefault="00982FF1" w:rsidP="00982FF1">
      <w:pPr>
        <w:spacing w:after="0" w:line="240" w:lineRule="auto"/>
        <w:rPr>
          <w:rFonts w:ascii="Times New Roman" w:hAnsi="Times New Roman"/>
          <w:b/>
          <w:i/>
        </w:rPr>
      </w:pPr>
      <w:r w:rsidRPr="00982FF1">
        <w:rPr>
          <w:rFonts w:ascii="Times New Roman" w:hAnsi="Times New Roman"/>
          <w:b/>
          <w:i/>
        </w:rPr>
        <w:t>Stanje sudskih sporova</w:t>
      </w:r>
    </w:p>
    <w:p w14:paraId="0B377E8A" w14:textId="77777777" w:rsidR="00982FF1" w:rsidRPr="00982FF1" w:rsidRDefault="00982FF1" w:rsidP="00982FF1">
      <w:pPr>
        <w:autoSpaceDE w:val="0"/>
        <w:autoSpaceDN w:val="0"/>
        <w:adjustRightInd w:val="0"/>
        <w:spacing w:after="0" w:line="240" w:lineRule="auto"/>
        <w:jc w:val="both"/>
        <w:rPr>
          <w:rFonts w:ascii="Times New Roman" w:hAnsi="Times New Roman"/>
        </w:rPr>
      </w:pPr>
      <w:r w:rsidRPr="00982FF1">
        <w:rPr>
          <w:rFonts w:ascii="Times New Roman" w:hAnsi="Times New Roman"/>
        </w:rPr>
        <w:t>Prema podacima Jedinstvenog upravnog odjela, koji vodi evidenciju sudskih sporova u kojima je Općina jedna od stranaka i vrijednosti (potencijalna imovina/obveze Općine) predmeta pojedinog sudskog spora, a za potrebe iskazivanja podatka u izvanbilančnoj evidenciji, Općina trenutno nema evidentiranih sudskih sporova u tijeku.</w:t>
      </w:r>
    </w:p>
    <w:p w14:paraId="6AFE2BF4" w14:textId="77777777" w:rsidR="00982FF1" w:rsidRPr="00982FF1" w:rsidRDefault="00982FF1" w:rsidP="00982FF1">
      <w:pPr>
        <w:jc w:val="both"/>
        <w:rPr>
          <w:rFonts w:ascii="Times New Roman" w:hAnsi="Times New Roman"/>
          <w:sz w:val="24"/>
          <w:szCs w:val="24"/>
          <w:lang w:eastAsia="en-US"/>
        </w:rPr>
      </w:pPr>
    </w:p>
    <w:p w14:paraId="33E915D8" w14:textId="77777777" w:rsidR="00982FF1" w:rsidRPr="00982FF1" w:rsidRDefault="00982FF1" w:rsidP="00982FF1">
      <w:pPr>
        <w:spacing w:after="160" w:line="259" w:lineRule="auto"/>
        <w:rPr>
          <w:rFonts w:ascii="Times New Roman" w:eastAsiaTheme="minorHAnsi" w:hAnsi="Times New Roman"/>
          <w:b/>
          <w:bCs/>
          <w:lang w:eastAsia="en-US"/>
          <w14:ligatures w14:val="standardContextual"/>
        </w:rPr>
      </w:pPr>
    </w:p>
    <w:p w14:paraId="3A42121C" w14:textId="77777777" w:rsidR="00982FF1" w:rsidRDefault="00982FF1" w:rsidP="00982FF1">
      <w:pPr>
        <w:spacing w:line="240" w:lineRule="auto"/>
        <w:jc w:val="both"/>
        <w:rPr>
          <w:rFonts w:ascii="Times New Roman" w:hAnsi="Times New Roman"/>
          <w:b/>
          <w:bCs/>
        </w:rPr>
      </w:pPr>
    </w:p>
    <w:p w14:paraId="7DE0A255" w14:textId="77777777" w:rsidR="00982FF1" w:rsidRDefault="00982FF1" w:rsidP="00982FF1">
      <w:pPr>
        <w:spacing w:line="240" w:lineRule="auto"/>
        <w:jc w:val="both"/>
        <w:rPr>
          <w:rFonts w:ascii="Times New Roman" w:hAnsi="Times New Roman"/>
          <w:b/>
          <w:bCs/>
        </w:rPr>
      </w:pPr>
    </w:p>
    <w:p w14:paraId="5264FBDF" w14:textId="77777777" w:rsidR="00982FF1" w:rsidRPr="00982FF1" w:rsidRDefault="00982FF1" w:rsidP="00982FF1">
      <w:pPr>
        <w:spacing w:line="240" w:lineRule="auto"/>
        <w:jc w:val="both"/>
        <w:rPr>
          <w:rFonts w:ascii="Times New Roman" w:hAnsi="Times New Roman"/>
          <w:b/>
          <w:bCs/>
        </w:rPr>
      </w:pPr>
    </w:p>
    <w:sectPr w:rsidR="00982FF1" w:rsidRPr="00982FF1"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03B8"/>
    <w:multiLevelType w:val="hybridMultilevel"/>
    <w:tmpl w:val="B9EC1E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9B45FCC"/>
    <w:multiLevelType w:val="multilevel"/>
    <w:tmpl w:val="A9ACDB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AA759B7"/>
    <w:multiLevelType w:val="hybridMultilevel"/>
    <w:tmpl w:val="1F265F72"/>
    <w:lvl w:ilvl="0" w:tplc="041A000D">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3C8F744C"/>
    <w:multiLevelType w:val="hybridMultilevel"/>
    <w:tmpl w:val="A3EAE2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E87909"/>
    <w:multiLevelType w:val="hybridMultilevel"/>
    <w:tmpl w:val="3536EA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2819D7"/>
    <w:multiLevelType w:val="hybridMultilevel"/>
    <w:tmpl w:val="0674FC2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CB00AF7"/>
    <w:multiLevelType w:val="multilevel"/>
    <w:tmpl w:val="A7DAF2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0CB0A39"/>
    <w:multiLevelType w:val="multilevel"/>
    <w:tmpl w:val="A45A87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AA32FBC"/>
    <w:multiLevelType w:val="multilevel"/>
    <w:tmpl w:val="EBA840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FFE2530"/>
    <w:multiLevelType w:val="hybridMultilevel"/>
    <w:tmpl w:val="CF3A8A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2D644C4"/>
    <w:multiLevelType w:val="multilevel"/>
    <w:tmpl w:val="9B00E2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47564402">
    <w:abstractNumId w:val="8"/>
  </w:num>
  <w:num w:numId="2" w16cid:durableId="487132171">
    <w:abstractNumId w:val="7"/>
  </w:num>
  <w:num w:numId="3" w16cid:durableId="910966822">
    <w:abstractNumId w:val="5"/>
  </w:num>
  <w:num w:numId="4" w16cid:durableId="965620928">
    <w:abstractNumId w:val="6"/>
  </w:num>
  <w:num w:numId="5" w16cid:durableId="1070931877">
    <w:abstractNumId w:val="10"/>
  </w:num>
  <w:num w:numId="6" w16cid:durableId="952050625">
    <w:abstractNumId w:val="4"/>
  </w:num>
  <w:num w:numId="7" w16cid:durableId="1273513282">
    <w:abstractNumId w:val="3"/>
  </w:num>
  <w:num w:numId="8" w16cid:durableId="66853248">
    <w:abstractNumId w:val="1"/>
  </w:num>
  <w:num w:numId="9" w16cid:durableId="115832589">
    <w:abstractNumId w:val="0"/>
  </w:num>
  <w:num w:numId="10" w16cid:durableId="984746478">
    <w:abstractNumId w:val="2"/>
  </w:num>
  <w:num w:numId="11" w16cid:durableId="158813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96"/>
    <w:rsid w:val="007D7781"/>
    <w:rsid w:val="007E7597"/>
    <w:rsid w:val="007F00D6"/>
    <w:rsid w:val="00935AE9"/>
    <w:rsid w:val="00982FF1"/>
    <w:rsid w:val="00A46479"/>
    <w:rsid w:val="00A5354C"/>
    <w:rsid w:val="00B417CC"/>
    <w:rsid w:val="00BD2744"/>
    <w:rsid w:val="00C67439"/>
    <w:rsid w:val="00EF4B1F"/>
    <w:rsid w:val="00FC28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5097"/>
  <w15:chartTrackingRefBased/>
  <w15:docId w15:val="{1F9A2786-6999-4AA4-9570-E6A06250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96"/>
    <w:pPr>
      <w:spacing w:after="200" w:line="276" w:lineRule="auto"/>
    </w:pPr>
    <w:rPr>
      <w:rFonts w:ascii="Calibri" w:eastAsia="Times New Roman" w:hAnsi="Calibri" w:cs="Times New Roman"/>
      <w:lang w:eastAsia="hr-HR"/>
      <w14:ligatures w14:val="none"/>
    </w:rPr>
  </w:style>
  <w:style w:type="paragraph" w:styleId="Naslov1">
    <w:name w:val="heading 1"/>
    <w:basedOn w:val="Normal"/>
    <w:next w:val="Normal"/>
    <w:link w:val="Naslov1Char"/>
    <w:uiPriority w:val="9"/>
    <w:qFormat/>
    <w:rsid w:val="00FC28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FC28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FC289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FC289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FC289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FC289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C289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C289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C289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C289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C289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C289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C289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C289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C289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C289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C289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C2896"/>
    <w:rPr>
      <w:rFonts w:eastAsiaTheme="majorEastAsia" w:cstheme="majorBidi"/>
      <w:color w:val="272727" w:themeColor="text1" w:themeTint="D8"/>
    </w:rPr>
  </w:style>
  <w:style w:type="paragraph" w:styleId="Naslov">
    <w:name w:val="Title"/>
    <w:basedOn w:val="Normal"/>
    <w:next w:val="Normal"/>
    <w:link w:val="NaslovChar"/>
    <w:uiPriority w:val="10"/>
    <w:qFormat/>
    <w:rsid w:val="00FC2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C289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C289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C289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C2896"/>
    <w:pPr>
      <w:spacing w:before="160"/>
      <w:jc w:val="center"/>
    </w:pPr>
    <w:rPr>
      <w:i/>
      <w:iCs/>
      <w:color w:val="404040" w:themeColor="text1" w:themeTint="BF"/>
    </w:rPr>
  </w:style>
  <w:style w:type="character" w:customStyle="1" w:styleId="CitatChar">
    <w:name w:val="Citat Char"/>
    <w:basedOn w:val="Zadanifontodlomka"/>
    <w:link w:val="Citat"/>
    <w:uiPriority w:val="29"/>
    <w:rsid w:val="00FC2896"/>
    <w:rPr>
      <w:i/>
      <w:iCs/>
      <w:color w:val="404040" w:themeColor="text1" w:themeTint="BF"/>
    </w:rPr>
  </w:style>
  <w:style w:type="paragraph" w:styleId="Odlomakpopisa">
    <w:name w:val="List Paragraph"/>
    <w:basedOn w:val="Normal"/>
    <w:uiPriority w:val="34"/>
    <w:qFormat/>
    <w:rsid w:val="00FC2896"/>
    <w:pPr>
      <w:ind w:left="720"/>
      <w:contextualSpacing/>
    </w:pPr>
  </w:style>
  <w:style w:type="character" w:styleId="Jakoisticanje">
    <w:name w:val="Intense Emphasis"/>
    <w:basedOn w:val="Zadanifontodlomka"/>
    <w:uiPriority w:val="21"/>
    <w:qFormat/>
    <w:rsid w:val="00FC2896"/>
    <w:rPr>
      <w:i/>
      <w:iCs/>
      <w:color w:val="2F5496" w:themeColor="accent1" w:themeShade="BF"/>
    </w:rPr>
  </w:style>
  <w:style w:type="paragraph" w:styleId="Naglaencitat">
    <w:name w:val="Intense Quote"/>
    <w:basedOn w:val="Normal"/>
    <w:next w:val="Normal"/>
    <w:link w:val="NaglaencitatChar"/>
    <w:uiPriority w:val="30"/>
    <w:qFormat/>
    <w:rsid w:val="00FC28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FC2896"/>
    <w:rPr>
      <w:i/>
      <w:iCs/>
      <w:color w:val="2F5496" w:themeColor="accent1" w:themeShade="BF"/>
    </w:rPr>
  </w:style>
  <w:style w:type="character" w:styleId="Istaknutareferenca">
    <w:name w:val="Intense Reference"/>
    <w:basedOn w:val="Zadanifontodlomka"/>
    <w:uiPriority w:val="32"/>
    <w:qFormat/>
    <w:rsid w:val="00FC2896"/>
    <w:rPr>
      <w:b/>
      <w:bCs/>
      <w:smallCaps/>
      <w:color w:val="2F5496" w:themeColor="accent1" w:themeShade="BF"/>
      <w:spacing w:val="5"/>
    </w:rPr>
  </w:style>
  <w:style w:type="table" w:styleId="Reetkatablice">
    <w:name w:val="Table Grid"/>
    <w:basedOn w:val="Obinatablica"/>
    <w:uiPriority w:val="39"/>
    <w:rsid w:val="0093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https://cerna.h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 prikaz realizacije Prihoda u 2023. u odnosu na Plan proračuna 2023.,te realizaciju za isto razdoblje 2022. godine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List1!$B$1</c:f>
              <c:strCache>
                <c:ptCount val="1"/>
                <c:pt idx="0">
                  <c:v>Ostvareno 2022.</c:v>
                </c:pt>
              </c:strCache>
            </c:strRef>
          </c:tx>
          <c:spPr>
            <a:solidFill>
              <a:schemeClr val="accent1"/>
            </a:solidFill>
            <a:ln>
              <a:noFill/>
            </a:ln>
            <a:effectLst/>
          </c:spPr>
          <c:invertIfNegative val="0"/>
          <c:cat>
            <c:strRef>
              <c:f>List1!$A$2:$A$7</c:f>
              <c:strCache>
                <c:ptCount val="6"/>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72 Prihodi od prodaje proizvedene dugotrajne imovine</c:v>
                </c:pt>
              </c:strCache>
            </c:strRef>
          </c:cat>
          <c:val>
            <c:numRef>
              <c:f>List1!$B$2:$B$7</c:f>
              <c:numCache>
                <c:formatCode>#,##0.00</c:formatCode>
                <c:ptCount val="6"/>
                <c:pt idx="0">
                  <c:v>673084.25</c:v>
                </c:pt>
                <c:pt idx="1">
                  <c:v>923499.98</c:v>
                </c:pt>
                <c:pt idx="2">
                  <c:v>113044.66</c:v>
                </c:pt>
                <c:pt idx="3">
                  <c:v>371954.82</c:v>
                </c:pt>
                <c:pt idx="4">
                  <c:v>15212.31</c:v>
                </c:pt>
                <c:pt idx="5">
                  <c:v>2325.0500000000002</c:v>
                </c:pt>
              </c:numCache>
            </c:numRef>
          </c:val>
          <c:extLst>
            <c:ext xmlns:c16="http://schemas.microsoft.com/office/drawing/2014/chart" uri="{C3380CC4-5D6E-409C-BE32-E72D297353CC}">
              <c16:uniqueId val="{00000000-2F4C-445B-8F94-A3105F28C5B3}"/>
            </c:ext>
          </c:extLst>
        </c:ser>
        <c:ser>
          <c:idx val="1"/>
          <c:order val="1"/>
          <c:tx>
            <c:strRef>
              <c:f>List1!$C$1</c:f>
              <c:strCache>
                <c:ptCount val="1"/>
                <c:pt idx="0">
                  <c:v>Plan proračuna 2023.</c:v>
                </c:pt>
              </c:strCache>
            </c:strRef>
          </c:tx>
          <c:spPr>
            <a:solidFill>
              <a:schemeClr val="accent2"/>
            </a:solidFill>
            <a:ln>
              <a:noFill/>
            </a:ln>
            <a:effectLst/>
          </c:spPr>
          <c:invertIfNegative val="0"/>
          <c:cat>
            <c:strRef>
              <c:f>List1!$A$2:$A$7</c:f>
              <c:strCache>
                <c:ptCount val="6"/>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72 Prihodi od prodaje proizvedene dugotrajne imovine</c:v>
                </c:pt>
              </c:strCache>
            </c:strRef>
          </c:cat>
          <c:val>
            <c:numRef>
              <c:f>List1!$C$2:$C$7</c:f>
              <c:numCache>
                <c:formatCode>#,##0.00</c:formatCode>
                <c:ptCount val="6"/>
                <c:pt idx="0">
                  <c:v>925463.74</c:v>
                </c:pt>
                <c:pt idx="1">
                  <c:v>2856266.92</c:v>
                </c:pt>
                <c:pt idx="2">
                  <c:v>82807.55</c:v>
                </c:pt>
                <c:pt idx="3">
                  <c:v>393172.13</c:v>
                </c:pt>
                <c:pt idx="4">
                  <c:v>19040</c:v>
                </c:pt>
                <c:pt idx="5">
                  <c:v>2654.46</c:v>
                </c:pt>
              </c:numCache>
            </c:numRef>
          </c:val>
          <c:extLst>
            <c:ext xmlns:c16="http://schemas.microsoft.com/office/drawing/2014/chart" uri="{C3380CC4-5D6E-409C-BE32-E72D297353CC}">
              <c16:uniqueId val="{00000001-2F4C-445B-8F94-A3105F28C5B3}"/>
            </c:ext>
          </c:extLst>
        </c:ser>
        <c:ser>
          <c:idx val="2"/>
          <c:order val="2"/>
          <c:tx>
            <c:strRef>
              <c:f>List1!$D$1</c:f>
              <c:strCache>
                <c:ptCount val="1"/>
                <c:pt idx="0">
                  <c:v>Ostvareno 2023.</c:v>
                </c:pt>
              </c:strCache>
            </c:strRef>
          </c:tx>
          <c:spPr>
            <a:solidFill>
              <a:schemeClr val="accent3"/>
            </a:solidFill>
            <a:ln>
              <a:noFill/>
            </a:ln>
            <a:effectLst/>
          </c:spPr>
          <c:invertIfNegative val="0"/>
          <c:cat>
            <c:strRef>
              <c:f>List1!$A$2:$A$7</c:f>
              <c:strCache>
                <c:ptCount val="6"/>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72 Prihodi od prodaje proizvedene dugotrajne imovine</c:v>
                </c:pt>
              </c:strCache>
            </c:strRef>
          </c:cat>
          <c:val>
            <c:numRef>
              <c:f>List1!$D$2:$D$7</c:f>
              <c:numCache>
                <c:formatCode>#,##0.00</c:formatCode>
                <c:ptCount val="6"/>
                <c:pt idx="0">
                  <c:v>909840.05</c:v>
                </c:pt>
                <c:pt idx="1">
                  <c:v>2427486.02</c:v>
                </c:pt>
                <c:pt idx="2">
                  <c:v>75445.2</c:v>
                </c:pt>
                <c:pt idx="3">
                  <c:v>393172.13</c:v>
                </c:pt>
                <c:pt idx="4">
                  <c:v>31406.62</c:v>
                </c:pt>
                <c:pt idx="5">
                  <c:v>1596.9</c:v>
                </c:pt>
              </c:numCache>
            </c:numRef>
          </c:val>
          <c:extLst>
            <c:ext xmlns:c16="http://schemas.microsoft.com/office/drawing/2014/chart" uri="{C3380CC4-5D6E-409C-BE32-E72D297353CC}">
              <c16:uniqueId val="{00000002-2F4C-445B-8F94-A3105F28C5B3}"/>
            </c:ext>
          </c:extLst>
        </c:ser>
        <c:dLbls>
          <c:showLegendKey val="0"/>
          <c:showVal val="0"/>
          <c:showCatName val="0"/>
          <c:showSerName val="0"/>
          <c:showPercent val="0"/>
          <c:showBubbleSize val="0"/>
        </c:dLbls>
        <c:gapWidth val="182"/>
        <c:axId val="27098159"/>
        <c:axId val="27104879"/>
      </c:barChart>
      <c:catAx>
        <c:axId val="270981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7104879"/>
        <c:crosses val="autoZero"/>
        <c:auto val="1"/>
        <c:lblAlgn val="ctr"/>
        <c:lblOffset val="100"/>
        <c:noMultiLvlLbl val="0"/>
      </c:catAx>
      <c:valAx>
        <c:axId val="27104879"/>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709815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 prikaz realizacije</a:t>
            </a:r>
            <a:r>
              <a:rPr lang="hr-HR" baseline="0"/>
              <a:t> Prihoda od poreza u 2023. u odnosu na Plan proračuna 2023. te realizaciju za isto razdoblje 2022. </a:t>
            </a:r>
          </a:p>
          <a:p>
            <a:pPr>
              <a:defRPr/>
            </a:pP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List1!$B$1</c:f>
              <c:strCache>
                <c:ptCount val="1"/>
                <c:pt idx="0">
                  <c:v>Ostvareno 2022.</c:v>
                </c:pt>
              </c:strCache>
            </c:strRef>
          </c:tx>
          <c:spPr>
            <a:solidFill>
              <a:schemeClr val="accent1"/>
            </a:solidFill>
            <a:ln>
              <a:noFill/>
            </a:ln>
            <a:effectLst/>
          </c:spPr>
          <c:invertIfNegative val="0"/>
          <c:cat>
            <c:strRef>
              <c:f>List1!$A$2:$A$6</c:f>
              <c:strCache>
                <c:ptCount val="5"/>
                <c:pt idx="0">
                  <c:v>Porez i prirez na dohodak</c:v>
                </c:pt>
                <c:pt idx="1">
                  <c:v>Porez na kuće za odmor</c:v>
                </c:pt>
                <c:pt idx="2">
                  <c:v>Porez na promet nekretnina</c:v>
                </c:pt>
                <c:pt idx="3">
                  <c:v>Porez na potrošnju alkoholnih i bezalkoholnih pića</c:v>
                </c:pt>
                <c:pt idx="4">
                  <c:v>Porez na tvrtku</c:v>
                </c:pt>
              </c:strCache>
            </c:strRef>
          </c:cat>
          <c:val>
            <c:numRef>
              <c:f>List1!$B$2:$B$6</c:f>
              <c:numCache>
                <c:formatCode>#,##0.00</c:formatCode>
                <c:ptCount val="5"/>
                <c:pt idx="0">
                  <c:v>612549.63</c:v>
                </c:pt>
                <c:pt idx="1">
                  <c:v>1814.53</c:v>
                </c:pt>
                <c:pt idx="2">
                  <c:v>51601.27</c:v>
                </c:pt>
                <c:pt idx="3">
                  <c:v>6814.83</c:v>
                </c:pt>
                <c:pt idx="4" formatCode="General">
                  <c:v>303.99</c:v>
                </c:pt>
              </c:numCache>
            </c:numRef>
          </c:val>
          <c:extLst>
            <c:ext xmlns:c16="http://schemas.microsoft.com/office/drawing/2014/chart" uri="{C3380CC4-5D6E-409C-BE32-E72D297353CC}">
              <c16:uniqueId val="{00000000-CDC0-439E-BBE1-286E31DEDBD9}"/>
            </c:ext>
          </c:extLst>
        </c:ser>
        <c:ser>
          <c:idx val="1"/>
          <c:order val="1"/>
          <c:tx>
            <c:strRef>
              <c:f>List1!$C$1</c:f>
              <c:strCache>
                <c:ptCount val="1"/>
                <c:pt idx="0">
                  <c:v>Plan proračuna 2023.</c:v>
                </c:pt>
              </c:strCache>
            </c:strRef>
          </c:tx>
          <c:spPr>
            <a:solidFill>
              <a:schemeClr val="accent2"/>
            </a:solidFill>
            <a:ln>
              <a:noFill/>
            </a:ln>
            <a:effectLst/>
          </c:spPr>
          <c:invertIfNegative val="0"/>
          <c:cat>
            <c:strRef>
              <c:f>List1!$A$2:$A$6</c:f>
              <c:strCache>
                <c:ptCount val="5"/>
                <c:pt idx="0">
                  <c:v>Porez i prirez na dohodak</c:v>
                </c:pt>
                <c:pt idx="1">
                  <c:v>Porez na kuće za odmor</c:v>
                </c:pt>
                <c:pt idx="2">
                  <c:v>Porez na promet nekretnina</c:v>
                </c:pt>
                <c:pt idx="3">
                  <c:v>Porez na potrošnju alkoholnih i bezalkoholnih pića</c:v>
                </c:pt>
                <c:pt idx="4">
                  <c:v>Porez na tvrtku</c:v>
                </c:pt>
              </c:strCache>
            </c:strRef>
          </c:cat>
          <c:val>
            <c:numRef>
              <c:f>List1!$C$2:$C$6</c:f>
              <c:numCache>
                <c:formatCode>#,##0</c:formatCode>
                <c:ptCount val="5"/>
                <c:pt idx="0" formatCode="#,##0.00">
                  <c:v>868973.14</c:v>
                </c:pt>
                <c:pt idx="1">
                  <c:v>2000</c:v>
                </c:pt>
                <c:pt idx="2">
                  <c:v>45000</c:v>
                </c:pt>
                <c:pt idx="3" formatCode="#,##0.00">
                  <c:v>9290.6</c:v>
                </c:pt>
                <c:pt idx="4" formatCode="General">
                  <c:v>200</c:v>
                </c:pt>
              </c:numCache>
            </c:numRef>
          </c:val>
          <c:extLst>
            <c:ext xmlns:c16="http://schemas.microsoft.com/office/drawing/2014/chart" uri="{C3380CC4-5D6E-409C-BE32-E72D297353CC}">
              <c16:uniqueId val="{00000001-CDC0-439E-BBE1-286E31DEDBD9}"/>
            </c:ext>
          </c:extLst>
        </c:ser>
        <c:ser>
          <c:idx val="2"/>
          <c:order val="2"/>
          <c:tx>
            <c:strRef>
              <c:f>List1!$D$1</c:f>
              <c:strCache>
                <c:ptCount val="1"/>
                <c:pt idx="0">
                  <c:v>Ostvareno 2023.</c:v>
                </c:pt>
              </c:strCache>
            </c:strRef>
          </c:tx>
          <c:spPr>
            <a:solidFill>
              <a:schemeClr val="accent3"/>
            </a:solidFill>
            <a:ln>
              <a:noFill/>
            </a:ln>
            <a:effectLst/>
          </c:spPr>
          <c:invertIfNegative val="0"/>
          <c:cat>
            <c:strRef>
              <c:f>List1!$A$2:$A$6</c:f>
              <c:strCache>
                <c:ptCount val="5"/>
                <c:pt idx="0">
                  <c:v>Porez i prirez na dohodak</c:v>
                </c:pt>
                <c:pt idx="1">
                  <c:v>Porez na kuće za odmor</c:v>
                </c:pt>
                <c:pt idx="2">
                  <c:v>Porez na promet nekretnina</c:v>
                </c:pt>
                <c:pt idx="3">
                  <c:v>Porez na potrošnju alkoholnih i bezalkoholnih pića</c:v>
                </c:pt>
                <c:pt idx="4">
                  <c:v>Porez na tvrtku</c:v>
                </c:pt>
              </c:strCache>
            </c:strRef>
          </c:cat>
          <c:val>
            <c:numRef>
              <c:f>List1!$D$2:$D$6</c:f>
              <c:numCache>
                <c:formatCode>#,##0.00</c:formatCode>
                <c:ptCount val="5"/>
                <c:pt idx="0">
                  <c:v>852448.74</c:v>
                </c:pt>
                <c:pt idx="1">
                  <c:v>1294.6199999999999</c:v>
                </c:pt>
                <c:pt idx="2">
                  <c:v>46741.9</c:v>
                </c:pt>
                <c:pt idx="3">
                  <c:v>9236.44</c:v>
                </c:pt>
                <c:pt idx="4" formatCode="General">
                  <c:v>118.35</c:v>
                </c:pt>
              </c:numCache>
            </c:numRef>
          </c:val>
          <c:extLst>
            <c:ext xmlns:c16="http://schemas.microsoft.com/office/drawing/2014/chart" uri="{C3380CC4-5D6E-409C-BE32-E72D297353CC}">
              <c16:uniqueId val="{00000002-CDC0-439E-BBE1-286E31DEDBD9}"/>
            </c:ext>
          </c:extLst>
        </c:ser>
        <c:dLbls>
          <c:showLegendKey val="0"/>
          <c:showVal val="0"/>
          <c:showCatName val="0"/>
          <c:showSerName val="0"/>
          <c:showPercent val="0"/>
          <c:showBubbleSize val="0"/>
        </c:dLbls>
        <c:gapWidth val="219"/>
        <c:axId val="1825710639"/>
        <c:axId val="1825711599"/>
      </c:barChart>
      <c:catAx>
        <c:axId val="18257106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25711599"/>
        <c:crosses val="autoZero"/>
        <c:auto val="1"/>
        <c:lblAlgn val="ctr"/>
        <c:lblOffset val="100"/>
        <c:noMultiLvlLbl val="0"/>
      </c:catAx>
      <c:valAx>
        <c:axId val="1825711599"/>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8257106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a:t>
            </a:r>
            <a:r>
              <a:rPr lang="hr-HR" baseline="0"/>
              <a:t> prikaz relizacije najznačajnih prihoda od imovine u 2023. u odnosu na Plan proračuna 2023. te realizaciju za isto razdoblje 2022.</a:t>
            </a: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List1!$B$1</c:f>
              <c:strCache>
                <c:ptCount val="1"/>
                <c:pt idx="0">
                  <c:v>Ostvareno 2022.</c:v>
                </c:pt>
              </c:strCache>
            </c:strRef>
          </c:tx>
          <c:spPr>
            <a:solidFill>
              <a:schemeClr val="accent1"/>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List1!$B$2:$B$5</c:f>
              <c:numCache>
                <c:formatCode>#,##0.00</c:formatCode>
                <c:ptCount val="4"/>
                <c:pt idx="0">
                  <c:v>25443.87</c:v>
                </c:pt>
                <c:pt idx="1">
                  <c:v>10606.87</c:v>
                </c:pt>
                <c:pt idx="2">
                  <c:v>1134.78</c:v>
                </c:pt>
                <c:pt idx="3">
                  <c:v>5972.53</c:v>
                </c:pt>
              </c:numCache>
            </c:numRef>
          </c:val>
          <c:extLst>
            <c:ext xmlns:c16="http://schemas.microsoft.com/office/drawing/2014/chart" uri="{C3380CC4-5D6E-409C-BE32-E72D297353CC}">
              <c16:uniqueId val="{00000000-DFE3-49FB-8198-BDE8E82B4043}"/>
            </c:ext>
          </c:extLst>
        </c:ser>
        <c:ser>
          <c:idx val="1"/>
          <c:order val="1"/>
          <c:tx>
            <c:strRef>
              <c:f>List1!$C$1</c:f>
              <c:strCache>
                <c:ptCount val="1"/>
                <c:pt idx="0">
                  <c:v>Plan proračuna 2023.</c:v>
                </c:pt>
              </c:strCache>
            </c:strRef>
          </c:tx>
          <c:spPr>
            <a:solidFill>
              <a:schemeClr val="accent2"/>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List1!$C$2:$C$5</c:f>
              <c:numCache>
                <c:formatCode>#,##0.00</c:formatCode>
                <c:ptCount val="4"/>
                <c:pt idx="0">
                  <c:v>39816.839999999997</c:v>
                </c:pt>
                <c:pt idx="1">
                  <c:v>11945.05</c:v>
                </c:pt>
                <c:pt idx="2" formatCode="General">
                  <c:v>781</c:v>
                </c:pt>
                <c:pt idx="3">
                  <c:v>5972.53</c:v>
                </c:pt>
              </c:numCache>
            </c:numRef>
          </c:val>
          <c:extLst>
            <c:ext xmlns:c16="http://schemas.microsoft.com/office/drawing/2014/chart" uri="{C3380CC4-5D6E-409C-BE32-E72D297353CC}">
              <c16:uniqueId val="{00000001-DFE3-49FB-8198-BDE8E82B4043}"/>
            </c:ext>
          </c:extLst>
        </c:ser>
        <c:ser>
          <c:idx val="2"/>
          <c:order val="2"/>
          <c:tx>
            <c:strRef>
              <c:f>List1!$D$1</c:f>
              <c:strCache>
                <c:ptCount val="1"/>
                <c:pt idx="0">
                  <c:v>Ostvareno 2023.</c:v>
                </c:pt>
              </c:strCache>
            </c:strRef>
          </c:tx>
          <c:spPr>
            <a:solidFill>
              <a:schemeClr val="accent3"/>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List1!$D$2:$D$5</c:f>
              <c:numCache>
                <c:formatCode>#,##0.00</c:formatCode>
                <c:ptCount val="4"/>
                <c:pt idx="0">
                  <c:v>13956.95</c:v>
                </c:pt>
                <c:pt idx="1">
                  <c:v>21194.38</c:v>
                </c:pt>
                <c:pt idx="2">
                  <c:v>1495.86</c:v>
                </c:pt>
                <c:pt idx="3">
                  <c:v>6636.14</c:v>
                </c:pt>
              </c:numCache>
            </c:numRef>
          </c:val>
          <c:extLst>
            <c:ext xmlns:c16="http://schemas.microsoft.com/office/drawing/2014/chart" uri="{C3380CC4-5D6E-409C-BE32-E72D297353CC}">
              <c16:uniqueId val="{00000002-DFE3-49FB-8198-BDE8E82B4043}"/>
            </c:ext>
          </c:extLst>
        </c:ser>
        <c:dLbls>
          <c:showLegendKey val="0"/>
          <c:showVal val="0"/>
          <c:showCatName val="0"/>
          <c:showSerName val="0"/>
          <c:showPercent val="0"/>
          <c:showBubbleSize val="0"/>
        </c:dLbls>
        <c:gapWidth val="219"/>
        <c:overlap val="-27"/>
        <c:axId val="392017791"/>
        <c:axId val="392021631"/>
      </c:barChart>
      <c:catAx>
        <c:axId val="392017791"/>
        <c:scaling>
          <c:orientation val="minMax"/>
        </c:scaling>
        <c:delete val="1"/>
        <c:axPos val="b"/>
        <c:numFmt formatCode="General" sourceLinked="1"/>
        <c:majorTickMark val="none"/>
        <c:minorTickMark val="none"/>
        <c:tickLblPos val="nextTo"/>
        <c:crossAx val="392021631"/>
        <c:crosses val="autoZero"/>
        <c:auto val="1"/>
        <c:lblAlgn val="ctr"/>
        <c:lblOffset val="100"/>
        <c:noMultiLvlLbl val="0"/>
      </c:catAx>
      <c:valAx>
        <c:axId val="392021631"/>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920177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a:t>
            </a:r>
            <a:r>
              <a:rPr lang="hr-HR" baseline="0"/>
              <a:t> prikaz realizacije najznačajnijih prihoda od upravnih i administrativnih pristojbi u 2023. u odnosu na Plan proračuna 2023. te realizaciju za isto razdoblje 2022.</a:t>
            </a:r>
          </a:p>
          <a:p>
            <a:pPr>
              <a:defRPr/>
            </a:pP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List1!$B$1</c:f>
              <c:strCache>
                <c:ptCount val="1"/>
                <c:pt idx="0">
                  <c:v>Ostvareno 2022.</c:v>
                </c:pt>
              </c:strCache>
            </c:strRef>
          </c:tx>
          <c:spPr>
            <a:solidFill>
              <a:schemeClr val="accent1"/>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List1!$B$2:$B$6</c:f>
              <c:numCache>
                <c:formatCode>#,##0.00</c:formatCode>
                <c:ptCount val="5"/>
                <c:pt idx="0">
                  <c:v>81160.490000000005</c:v>
                </c:pt>
                <c:pt idx="1">
                  <c:v>262320.48</c:v>
                </c:pt>
                <c:pt idx="2">
                  <c:v>24532.400000000001</c:v>
                </c:pt>
                <c:pt idx="3">
                  <c:v>3433.1</c:v>
                </c:pt>
              </c:numCache>
            </c:numRef>
          </c:val>
          <c:extLst>
            <c:ext xmlns:c16="http://schemas.microsoft.com/office/drawing/2014/chart" uri="{C3380CC4-5D6E-409C-BE32-E72D297353CC}">
              <c16:uniqueId val="{00000000-5ED6-49E6-A261-3CAAEC620B7E}"/>
            </c:ext>
          </c:extLst>
        </c:ser>
        <c:ser>
          <c:idx val="1"/>
          <c:order val="1"/>
          <c:tx>
            <c:strRef>
              <c:f>List1!$C$1</c:f>
              <c:strCache>
                <c:ptCount val="1"/>
                <c:pt idx="0">
                  <c:v>Plan proračuna 2023.</c:v>
                </c:pt>
              </c:strCache>
            </c:strRef>
          </c:tx>
          <c:spPr>
            <a:solidFill>
              <a:schemeClr val="accent2"/>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List1!$C$2:$C$6</c:f>
              <c:numCache>
                <c:formatCode>#,##0.00</c:formatCode>
                <c:ptCount val="5"/>
                <c:pt idx="0">
                  <c:v>60944.92</c:v>
                </c:pt>
                <c:pt idx="1">
                  <c:v>235656.55</c:v>
                </c:pt>
                <c:pt idx="2">
                  <c:v>20000</c:v>
                </c:pt>
                <c:pt idx="3">
                  <c:v>10000</c:v>
                </c:pt>
              </c:numCache>
            </c:numRef>
          </c:val>
          <c:extLst>
            <c:ext xmlns:c16="http://schemas.microsoft.com/office/drawing/2014/chart" uri="{C3380CC4-5D6E-409C-BE32-E72D297353CC}">
              <c16:uniqueId val="{00000001-5ED6-49E6-A261-3CAAEC620B7E}"/>
            </c:ext>
          </c:extLst>
        </c:ser>
        <c:ser>
          <c:idx val="2"/>
          <c:order val="2"/>
          <c:tx>
            <c:strRef>
              <c:f>List1!$D$1</c:f>
              <c:strCache>
                <c:ptCount val="1"/>
                <c:pt idx="0">
                  <c:v>Ostvareno 2023.</c:v>
                </c:pt>
              </c:strCache>
            </c:strRef>
          </c:tx>
          <c:spPr>
            <a:solidFill>
              <a:schemeClr val="accent3"/>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List1!$D$2:$D$6</c:f>
              <c:numCache>
                <c:formatCode>#,##0.00</c:formatCode>
                <c:ptCount val="5"/>
                <c:pt idx="0">
                  <c:v>73465.960000000006</c:v>
                </c:pt>
                <c:pt idx="1">
                  <c:v>235656.55</c:v>
                </c:pt>
                <c:pt idx="2">
                  <c:v>16783.599999999999</c:v>
                </c:pt>
                <c:pt idx="3">
                  <c:v>8566.9</c:v>
                </c:pt>
              </c:numCache>
            </c:numRef>
          </c:val>
          <c:extLst>
            <c:ext xmlns:c16="http://schemas.microsoft.com/office/drawing/2014/chart" uri="{C3380CC4-5D6E-409C-BE32-E72D297353CC}">
              <c16:uniqueId val="{00000002-5ED6-49E6-A261-3CAAEC620B7E}"/>
            </c:ext>
          </c:extLst>
        </c:ser>
        <c:dLbls>
          <c:showLegendKey val="0"/>
          <c:showVal val="0"/>
          <c:showCatName val="0"/>
          <c:showSerName val="0"/>
          <c:showPercent val="0"/>
          <c:showBubbleSize val="0"/>
        </c:dLbls>
        <c:gapWidth val="219"/>
        <c:overlap val="-27"/>
        <c:axId val="391964511"/>
        <c:axId val="391948671"/>
      </c:barChart>
      <c:catAx>
        <c:axId val="391964511"/>
        <c:scaling>
          <c:orientation val="minMax"/>
        </c:scaling>
        <c:delete val="1"/>
        <c:axPos val="b"/>
        <c:numFmt formatCode="General" sourceLinked="1"/>
        <c:majorTickMark val="none"/>
        <c:minorTickMark val="none"/>
        <c:tickLblPos val="nextTo"/>
        <c:crossAx val="391948671"/>
        <c:crosses val="autoZero"/>
        <c:auto val="1"/>
        <c:lblAlgn val="ctr"/>
        <c:lblOffset val="100"/>
        <c:noMultiLvlLbl val="0"/>
      </c:catAx>
      <c:valAx>
        <c:axId val="391948671"/>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919645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30</Pages>
  <Words>6524</Words>
  <Characters>37187</Characters>
  <Application>Microsoft Office Word</Application>
  <DocSecurity>0</DocSecurity>
  <Lines>309</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Vinka Penić</cp:lastModifiedBy>
  <cp:revision>2</cp:revision>
  <dcterms:created xsi:type="dcterms:W3CDTF">2024-06-05T07:31:00Z</dcterms:created>
  <dcterms:modified xsi:type="dcterms:W3CDTF">2024-06-13T08:16:00Z</dcterms:modified>
</cp:coreProperties>
</file>